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43709" w14:textId="77777777" w:rsidR="005D2D4F" w:rsidRDefault="005D2D4F" w:rsidP="005D2D4F">
      <w:pPr>
        <w:spacing w:before="960" w:after="960" w:line="480" w:lineRule="auto"/>
        <w:jc w:val="center"/>
        <w:rPr>
          <w:b/>
          <w:color w:val="006666"/>
          <w:lang w:val="es-MX"/>
        </w:rPr>
      </w:pPr>
      <w:r w:rsidRPr="007D35BC">
        <w:rPr>
          <w:b/>
          <w:color w:val="006666"/>
          <w:lang w:val="es-MX"/>
        </w:rPr>
        <w:t>Nombre y apellido del estudiante:</w:t>
      </w:r>
      <w:r>
        <w:rPr>
          <w:b/>
          <w:color w:val="006666"/>
          <w:lang w:val="es-MX"/>
        </w:rPr>
        <w:t xml:space="preserve"> </w:t>
      </w:r>
      <w:r>
        <w:rPr>
          <w:b/>
          <w:color w:val="006666"/>
          <w:lang w:val="es-MX"/>
        </w:rPr>
        <w:br/>
      </w:r>
      <w:r w:rsidRPr="00226791">
        <w:rPr>
          <w:b/>
          <w:color w:val="006666"/>
          <w:lang w:val="es-MX"/>
        </w:rPr>
        <w:t>Maximiliano Ariel Pérez</w:t>
      </w:r>
    </w:p>
    <w:p w14:paraId="1C103E4C" w14:textId="77777777" w:rsidR="005D2D4F" w:rsidRPr="007D35BC" w:rsidRDefault="005D2D4F" w:rsidP="005D2D4F">
      <w:pPr>
        <w:spacing w:before="960" w:after="960" w:line="480" w:lineRule="auto"/>
        <w:jc w:val="center"/>
        <w:rPr>
          <w:b/>
          <w:color w:val="006666"/>
          <w:lang w:val="es-MX"/>
        </w:rPr>
      </w:pPr>
      <w:r w:rsidRPr="007D35BC">
        <w:rPr>
          <w:b/>
          <w:color w:val="006666"/>
          <w:lang w:val="es-MX"/>
        </w:rPr>
        <w:t>Nombre y apellido de</w:t>
      </w:r>
      <w:r>
        <w:rPr>
          <w:b/>
          <w:color w:val="006666"/>
          <w:lang w:val="es-MX"/>
        </w:rPr>
        <w:t xml:space="preserve"> </w:t>
      </w:r>
      <w:r w:rsidRPr="007D35BC">
        <w:rPr>
          <w:b/>
          <w:color w:val="006666"/>
          <w:lang w:val="es-MX"/>
        </w:rPr>
        <w:t>le</w:t>
      </w:r>
      <w:r>
        <w:rPr>
          <w:b/>
          <w:color w:val="006666"/>
          <w:lang w:val="es-MX"/>
        </w:rPr>
        <w:t xml:space="preserve"> </w:t>
      </w:r>
      <w:r w:rsidRPr="007D35BC">
        <w:rPr>
          <w:b/>
          <w:color w:val="006666"/>
          <w:lang w:val="es-MX"/>
        </w:rPr>
        <w:t>Profesora</w:t>
      </w:r>
      <w:r>
        <w:rPr>
          <w:b/>
          <w:color w:val="006666"/>
          <w:lang w:val="es-MX"/>
        </w:rPr>
        <w:t xml:space="preserve">: </w:t>
      </w:r>
      <w:r>
        <w:rPr>
          <w:b/>
          <w:color w:val="006666"/>
          <w:lang w:val="es-MX"/>
        </w:rPr>
        <w:br/>
      </w:r>
      <w:r w:rsidRPr="00226791">
        <w:rPr>
          <w:b/>
          <w:color w:val="006666"/>
          <w:lang w:val="es-MX"/>
        </w:rPr>
        <w:t>Elena Barroso</w:t>
      </w:r>
    </w:p>
    <w:p w14:paraId="36329DE9" w14:textId="77777777" w:rsidR="005D2D4F" w:rsidRDefault="005D2D4F" w:rsidP="005D2D4F">
      <w:pPr>
        <w:spacing w:before="960" w:after="960" w:line="480" w:lineRule="auto"/>
        <w:jc w:val="center"/>
        <w:rPr>
          <w:b/>
          <w:color w:val="006666"/>
          <w:lang w:val="es-MX"/>
        </w:rPr>
      </w:pPr>
      <w:r w:rsidRPr="007D35BC">
        <w:rPr>
          <w:b/>
          <w:color w:val="006666"/>
          <w:lang w:val="es-MX"/>
        </w:rPr>
        <w:t xml:space="preserve">Nombre y apellido del estudiante: </w:t>
      </w:r>
      <w:r>
        <w:rPr>
          <w:b/>
          <w:color w:val="006666"/>
          <w:lang w:val="es-MX"/>
        </w:rPr>
        <w:br/>
      </w:r>
      <w:r w:rsidRPr="00226791">
        <w:rPr>
          <w:b/>
          <w:color w:val="006666"/>
          <w:lang w:val="es-MX"/>
        </w:rPr>
        <w:t xml:space="preserve">Cristina </w:t>
      </w:r>
      <w:proofErr w:type="spellStart"/>
      <w:r w:rsidRPr="00967A94">
        <w:rPr>
          <w:b/>
          <w:color w:val="006666"/>
        </w:rPr>
        <w:t>Sayat</w:t>
      </w:r>
      <w:proofErr w:type="spellEnd"/>
    </w:p>
    <w:p w14:paraId="4EE0C53E" w14:textId="77777777" w:rsidR="005D2D4F" w:rsidRPr="007D35BC" w:rsidRDefault="005D2D4F" w:rsidP="005D2D4F">
      <w:pPr>
        <w:spacing w:before="960" w:after="960" w:line="480" w:lineRule="auto"/>
        <w:jc w:val="center"/>
        <w:rPr>
          <w:b/>
          <w:color w:val="006666"/>
          <w:lang w:val="es-MX"/>
        </w:rPr>
      </w:pPr>
      <w:r w:rsidRPr="007D35BC">
        <w:rPr>
          <w:b/>
          <w:color w:val="006666"/>
          <w:lang w:val="es-MX"/>
        </w:rPr>
        <w:t>Espacio Curricular</w:t>
      </w:r>
      <w:r>
        <w:rPr>
          <w:b/>
          <w:color w:val="006666"/>
          <w:lang w:val="es-MX"/>
        </w:rPr>
        <w:t xml:space="preserve">: </w:t>
      </w:r>
      <w:r>
        <w:rPr>
          <w:b/>
          <w:color w:val="006666"/>
          <w:lang w:val="es-MX"/>
        </w:rPr>
        <w:br/>
      </w:r>
      <w:r w:rsidRPr="00226791">
        <w:rPr>
          <w:b/>
          <w:color w:val="006666"/>
          <w:lang w:val="es-MX"/>
        </w:rPr>
        <w:t>Práctica I</w:t>
      </w:r>
    </w:p>
    <w:p w14:paraId="1FFBADF2" w14:textId="518F2FFB" w:rsidR="005D2D4F" w:rsidRPr="007D35BC" w:rsidRDefault="005D2D4F" w:rsidP="00260BEC">
      <w:pPr>
        <w:spacing w:before="960" w:after="960" w:line="480" w:lineRule="auto"/>
        <w:jc w:val="center"/>
        <w:rPr>
          <w:b/>
          <w:color w:val="006666"/>
          <w:lang w:val="es-MX"/>
        </w:rPr>
      </w:pPr>
      <w:r w:rsidRPr="007D35BC">
        <w:rPr>
          <w:b/>
          <w:color w:val="006666"/>
          <w:lang w:val="es-MX"/>
        </w:rPr>
        <w:t>Título de la actividad que se está presentando</w:t>
      </w:r>
      <w:r>
        <w:rPr>
          <w:b/>
          <w:color w:val="006666"/>
          <w:lang w:val="es-MX"/>
        </w:rPr>
        <w:t>:</w:t>
      </w:r>
      <w:r>
        <w:br/>
      </w:r>
      <w:r w:rsidR="00244003">
        <w:rPr>
          <w:b/>
          <w:color w:val="006666"/>
          <w:lang w:val="es-MX"/>
        </w:rPr>
        <w:t>P</w:t>
      </w:r>
      <w:r w:rsidR="00244003" w:rsidRPr="00244003">
        <w:rPr>
          <w:b/>
          <w:color w:val="006666"/>
          <w:lang w:val="es-MX"/>
        </w:rPr>
        <w:t xml:space="preserve">royecto </w:t>
      </w:r>
      <w:r w:rsidR="00244003">
        <w:rPr>
          <w:b/>
          <w:color w:val="006666"/>
          <w:lang w:val="es-MX"/>
        </w:rPr>
        <w:t>de T</w:t>
      </w:r>
      <w:r w:rsidR="00244003" w:rsidRPr="00244003">
        <w:rPr>
          <w:b/>
          <w:color w:val="006666"/>
          <w:lang w:val="es-MX"/>
        </w:rPr>
        <w:t xml:space="preserve">rabajo </w:t>
      </w:r>
      <w:r w:rsidR="00244003">
        <w:rPr>
          <w:b/>
          <w:color w:val="006666"/>
          <w:lang w:val="es-MX"/>
        </w:rPr>
        <w:t>F</w:t>
      </w:r>
      <w:r w:rsidR="00244003" w:rsidRPr="00244003">
        <w:rPr>
          <w:b/>
          <w:color w:val="006666"/>
          <w:lang w:val="es-MX"/>
        </w:rPr>
        <w:t>inal</w:t>
      </w:r>
      <w:r w:rsidR="00260BEC">
        <w:rPr>
          <w:b/>
          <w:color w:val="006666"/>
          <w:lang w:val="es-MX"/>
        </w:rPr>
        <w:br/>
      </w:r>
      <w:r w:rsidRPr="00226791">
        <w:rPr>
          <w:b/>
          <w:color w:val="006666"/>
          <w:lang w:val="es-MX"/>
        </w:rPr>
        <w:t xml:space="preserve">Hospital Zonal General de Agudos “Mario V. </w:t>
      </w:r>
      <w:proofErr w:type="spellStart"/>
      <w:r w:rsidRPr="00226791">
        <w:rPr>
          <w:b/>
          <w:color w:val="006666"/>
          <w:lang w:val="es-MX"/>
        </w:rPr>
        <w:t>Larrain</w:t>
      </w:r>
      <w:proofErr w:type="spellEnd"/>
      <w:r w:rsidRPr="00226791">
        <w:rPr>
          <w:b/>
          <w:color w:val="006666"/>
          <w:lang w:val="es-MX"/>
        </w:rPr>
        <w:t>”</w:t>
      </w:r>
    </w:p>
    <w:p w14:paraId="154CEF43" w14:textId="77777777" w:rsidR="005D2D4F" w:rsidRPr="007D35BC" w:rsidRDefault="005D2D4F" w:rsidP="005D2D4F">
      <w:pPr>
        <w:spacing w:before="960" w:after="960" w:line="480" w:lineRule="auto"/>
        <w:jc w:val="center"/>
        <w:rPr>
          <w:b/>
          <w:color w:val="006666"/>
          <w:lang w:val="es-MX"/>
        </w:rPr>
      </w:pPr>
      <w:r w:rsidRPr="007D35BC">
        <w:rPr>
          <w:b/>
          <w:color w:val="006666"/>
          <w:lang w:val="es-MX"/>
        </w:rPr>
        <w:t>Ciclo Académico</w:t>
      </w:r>
      <w:r>
        <w:rPr>
          <w:b/>
          <w:color w:val="006666"/>
          <w:lang w:val="es-MX"/>
        </w:rPr>
        <w:t xml:space="preserve"> </w:t>
      </w:r>
      <w:r>
        <w:rPr>
          <w:b/>
          <w:color w:val="006666"/>
          <w:lang w:val="es-MX"/>
        </w:rPr>
        <w:br/>
        <w:t>2025</w:t>
      </w:r>
    </w:p>
    <w:p w14:paraId="0263B24B" w14:textId="37E792AA" w:rsidR="00754C56" w:rsidRDefault="00000000" w:rsidP="00B51DE5">
      <w:pPr>
        <w:spacing w:line="600" w:lineRule="auto"/>
        <w:rPr>
          <w:b/>
          <w:lang w:val="es-MX"/>
        </w:rPr>
      </w:pPr>
      <w:r w:rsidRPr="00AC2EE7">
        <w:rPr>
          <w:b/>
          <w:lang w:val="es-MX"/>
        </w:rPr>
        <w:lastRenderedPageBreak/>
        <w:t>Índice</w:t>
      </w:r>
    </w:p>
    <w:p w14:paraId="29F5E25C" w14:textId="7EE1F4C7" w:rsidR="002150F5" w:rsidRDefault="00B51DE5">
      <w:pPr>
        <w:pStyle w:val="TDC1"/>
        <w:rPr>
          <w:rFonts w:asciiTheme="minorHAnsi" w:hAnsiTheme="minorHAnsi"/>
          <w:noProof/>
          <w:kern w:val="2"/>
          <w:sz w:val="24"/>
          <w:szCs w:val="24"/>
          <w:lang w:eastAsia="es-AR"/>
          <w14:ligatures w14:val="standardContextual"/>
        </w:rPr>
      </w:pPr>
      <w:r>
        <w:rPr>
          <w:b/>
          <w:bCs/>
          <w:lang w:val="es-MX"/>
        </w:rPr>
        <w:fldChar w:fldCharType="begin"/>
      </w:r>
      <w:r>
        <w:rPr>
          <w:b/>
          <w:bCs/>
          <w:lang w:val="es-MX"/>
        </w:rPr>
        <w:instrText xml:space="preserve"> TOC \o "1-1" \h \z \u </w:instrText>
      </w:r>
      <w:r>
        <w:rPr>
          <w:b/>
          <w:bCs/>
          <w:lang w:val="es-MX"/>
        </w:rPr>
        <w:fldChar w:fldCharType="separate"/>
      </w:r>
      <w:hyperlink w:anchor="_Toc201012669" w:history="1">
        <w:r w:rsidR="002150F5" w:rsidRPr="003B1E13">
          <w:rPr>
            <w:rStyle w:val="Hipervnculo"/>
            <w:noProof/>
            <w:lang w:val="es-MX"/>
          </w:rPr>
          <w:t>Marco de Referencia</w:t>
        </w:r>
        <w:r w:rsidR="002150F5">
          <w:rPr>
            <w:noProof/>
            <w:webHidden/>
          </w:rPr>
          <w:tab/>
        </w:r>
        <w:r w:rsidR="002150F5">
          <w:rPr>
            <w:noProof/>
            <w:webHidden/>
          </w:rPr>
          <w:fldChar w:fldCharType="begin"/>
        </w:r>
        <w:r w:rsidR="002150F5">
          <w:rPr>
            <w:noProof/>
            <w:webHidden/>
          </w:rPr>
          <w:instrText xml:space="preserve"> PAGEREF _Toc201012669 \h </w:instrText>
        </w:r>
        <w:r w:rsidR="002150F5">
          <w:rPr>
            <w:noProof/>
            <w:webHidden/>
          </w:rPr>
        </w:r>
        <w:r w:rsidR="002150F5">
          <w:rPr>
            <w:noProof/>
            <w:webHidden/>
          </w:rPr>
          <w:fldChar w:fldCharType="separate"/>
        </w:r>
        <w:r w:rsidR="002150F5">
          <w:rPr>
            <w:noProof/>
            <w:webHidden/>
          </w:rPr>
          <w:t>3</w:t>
        </w:r>
        <w:r w:rsidR="002150F5">
          <w:rPr>
            <w:noProof/>
            <w:webHidden/>
          </w:rPr>
          <w:fldChar w:fldCharType="end"/>
        </w:r>
      </w:hyperlink>
    </w:p>
    <w:p w14:paraId="58F9B28C" w14:textId="4F6CCEA5" w:rsidR="002150F5" w:rsidRDefault="002150F5">
      <w:pPr>
        <w:pStyle w:val="TDC1"/>
        <w:rPr>
          <w:rFonts w:asciiTheme="minorHAnsi" w:hAnsiTheme="minorHAnsi"/>
          <w:noProof/>
          <w:kern w:val="2"/>
          <w:sz w:val="24"/>
          <w:szCs w:val="24"/>
          <w:lang w:eastAsia="es-AR"/>
          <w14:ligatures w14:val="standardContextual"/>
        </w:rPr>
      </w:pPr>
      <w:hyperlink w:anchor="_Toc201012670" w:history="1">
        <w:r w:rsidRPr="003B1E13">
          <w:rPr>
            <w:rStyle w:val="Hipervnculo"/>
            <w:noProof/>
            <w:lang w:val="es-MX"/>
          </w:rPr>
          <w:t>Fundamentación</w:t>
        </w:r>
        <w:r>
          <w:rPr>
            <w:noProof/>
            <w:webHidden/>
          </w:rPr>
          <w:tab/>
        </w:r>
        <w:r>
          <w:rPr>
            <w:noProof/>
            <w:webHidden/>
          </w:rPr>
          <w:fldChar w:fldCharType="begin"/>
        </w:r>
        <w:r>
          <w:rPr>
            <w:noProof/>
            <w:webHidden/>
          </w:rPr>
          <w:instrText xml:space="preserve"> PAGEREF _Toc201012670 \h </w:instrText>
        </w:r>
        <w:r>
          <w:rPr>
            <w:noProof/>
            <w:webHidden/>
          </w:rPr>
        </w:r>
        <w:r>
          <w:rPr>
            <w:noProof/>
            <w:webHidden/>
          </w:rPr>
          <w:fldChar w:fldCharType="separate"/>
        </w:r>
        <w:r>
          <w:rPr>
            <w:noProof/>
            <w:webHidden/>
          </w:rPr>
          <w:t>4</w:t>
        </w:r>
        <w:r>
          <w:rPr>
            <w:noProof/>
            <w:webHidden/>
          </w:rPr>
          <w:fldChar w:fldCharType="end"/>
        </w:r>
      </w:hyperlink>
    </w:p>
    <w:p w14:paraId="7E437780" w14:textId="6E970A48" w:rsidR="002150F5" w:rsidRDefault="002150F5">
      <w:pPr>
        <w:pStyle w:val="TDC1"/>
        <w:rPr>
          <w:rFonts w:asciiTheme="minorHAnsi" w:hAnsiTheme="minorHAnsi"/>
          <w:noProof/>
          <w:kern w:val="2"/>
          <w:sz w:val="24"/>
          <w:szCs w:val="24"/>
          <w:lang w:eastAsia="es-AR"/>
          <w14:ligatures w14:val="standardContextual"/>
        </w:rPr>
      </w:pPr>
      <w:hyperlink w:anchor="_Toc201012671" w:history="1">
        <w:r w:rsidRPr="003B1E13">
          <w:rPr>
            <w:rStyle w:val="Hipervnculo"/>
            <w:noProof/>
            <w:lang w:val="es-MX"/>
          </w:rPr>
          <w:t>Propósitos y Objetivos</w:t>
        </w:r>
        <w:r>
          <w:rPr>
            <w:noProof/>
            <w:webHidden/>
          </w:rPr>
          <w:tab/>
        </w:r>
        <w:r>
          <w:rPr>
            <w:noProof/>
            <w:webHidden/>
          </w:rPr>
          <w:fldChar w:fldCharType="begin"/>
        </w:r>
        <w:r>
          <w:rPr>
            <w:noProof/>
            <w:webHidden/>
          </w:rPr>
          <w:instrText xml:space="preserve"> PAGEREF _Toc201012671 \h </w:instrText>
        </w:r>
        <w:r>
          <w:rPr>
            <w:noProof/>
            <w:webHidden/>
          </w:rPr>
        </w:r>
        <w:r>
          <w:rPr>
            <w:noProof/>
            <w:webHidden/>
          </w:rPr>
          <w:fldChar w:fldCharType="separate"/>
        </w:r>
        <w:r>
          <w:rPr>
            <w:noProof/>
            <w:webHidden/>
          </w:rPr>
          <w:t>6</w:t>
        </w:r>
        <w:r>
          <w:rPr>
            <w:noProof/>
            <w:webHidden/>
          </w:rPr>
          <w:fldChar w:fldCharType="end"/>
        </w:r>
      </w:hyperlink>
    </w:p>
    <w:p w14:paraId="7D4C771C" w14:textId="468BC46A" w:rsidR="002150F5" w:rsidRDefault="002150F5">
      <w:pPr>
        <w:pStyle w:val="TDC1"/>
        <w:rPr>
          <w:rFonts w:asciiTheme="minorHAnsi" w:hAnsiTheme="minorHAnsi"/>
          <w:noProof/>
          <w:kern w:val="2"/>
          <w:sz w:val="24"/>
          <w:szCs w:val="24"/>
          <w:lang w:eastAsia="es-AR"/>
          <w14:ligatures w14:val="standardContextual"/>
        </w:rPr>
      </w:pPr>
      <w:hyperlink w:anchor="_Toc201012672" w:history="1">
        <w:r w:rsidRPr="003B1E13">
          <w:rPr>
            <w:rStyle w:val="Hipervnculo"/>
            <w:noProof/>
            <w:lang w:val="es-MX"/>
          </w:rPr>
          <w:t>Interacciones</w:t>
        </w:r>
        <w:r>
          <w:rPr>
            <w:noProof/>
            <w:webHidden/>
          </w:rPr>
          <w:tab/>
        </w:r>
        <w:r>
          <w:rPr>
            <w:noProof/>
            <w:webHidden/>
          </w:rPr>
          <w:fldChar w:fldCharType="begin"/>
        </w:r>
        <w:r>
          <w:rPr>
            <w:noProof/>
            <w:webHidden/>
          </w:rPr>
          <w:instrText xml:space="preserve"> PAGEREF _Toc201012672 \h </w:instrText>
        </w:r>
        <w:r>
          <w:rPr>
            <w:noProof/>
            <w:webHidden/>
          </w:rPr>
        </w:r>
        <w:r>
          <w:rPr>
            <w:noProof/>
            <w:webHidden/>
          </w:rPr>
          <w:fldChar w:fldCharType="separate"/>
        </w:r>
        <w:r>
          <w:rPr>
            <w:noProof/>
            <w:webHidden/>
          </w:rPr>
          <w:t>6</w:t>
        </w:r>
        <w:r>
          <w:rPr>
            <w:noProof/>
            <w:webHidden/>
          </w:rPr>
          <w:fldChar w:fldCharType="end"/>
        </w:r>
      </w:hyperlink>
    </w:p>
    <w:p w14:paraId="7982790F" w14:textId="0830F484" w:rsidR="002150F5" w:rsidRDefault="002150F5">
      <w:pPr>
        <w:pStyle w:val="TDC1"/>
        <w:rPr>
          <w:rFonts w:asciiTheme="minorHAnsi" w:hAnsiTheme="minorHAnsi"/>
          <w:noProof/>
          <w:kern w:val="2"/>
          <w:sz w:val="24"/>
          <w:szCs w:val="24"/>
          <w:lang w:eastAsia="es-AR"/>
          <w14:ligatures w14:val="standardContextual"/>
        </w:rPr>
      </w:pPr>
      <w:hyperlink w:anchor="_Toc201012673" w:history="1">
        <w:r w:rsidRPr="003B1E13">
          <w:rPr>
            <w:rStyle w:val="Hipervnculo"/>
            <w:noProof/>
            <w:lang w:val="es-MX"/>
          </w:rPr>
          <w:t>Propuesta de enseñanza: Itinerario de aprendizaje</w:t>
        </w:r>
        <w:r>
          <w:rPr>
            <w:noProof/>
            <w:webHidden/>
          </w:rPr>
          <w:tab/>
        </w:r>
        <w:r>
          <w:rPr>
            <w:noProof/>
            <w:webHidden/>
          </w:rPr>
          <w:fldChar w:fldCharType="begin"/>
        </w:r>
        <w:r>
          <w:rPr>
            <w:noProof/>
            <w:webHidden/>
          </w:rPr>
          <w:instrText xml:space="preserve"> PAGEREF _Toc201012673 \h </w:instrText>
        </w:r>
        <w:r>
          <w:rPr>
            <w:noProof/>
            <w:webHidden/>
          </w:rPr>
        </w:r>
        <w:r>
          <w:rPr>
            <w:noProof/>
            <w:webHidden/>
          </w:rPr>
          <w:fldChar w:fldCharType="separate"/>
        </w:r>
        <w:r>
          <w:rPr>
            <w:noProof/>
            <w:webHidden/>
          </w:rPr>
          <w:t>7</w:t>
        </w:r>
        <w:r>
          <w:rPr>
            <w:noProof/>
            <w:webHidden/>
          </w:rPr>
          <w:fldChar w:fldCharType="end"/>
        </w:r>
      </w:hyperlink>
    </w:p>
    <w:p w14:paraId="1D6B3973" w14:textId="6743CAAF" w:rsidR="002150F5" w:rsidRDefault="002150F5">
      <w:pPr>
        <w:pStyle w:val="TDC1"/>
        <w:rPr>
          <w:rFonts w:asciiTheme="minorHAnsi" w:hAnsiTheme="minorHAnsi"/>
          <w:noProof/>
          <w:kern w:val="2"/>
          <w:sz w:val="24"/>
          <w:szCs w:val="24"/>
          <w:lang w:eastAsia="es-AR"/>
          <w14:ligatures w14:val="standardContextual"/>
        </w:rPr>
      </w:pPr>
      <w:hyperlink w:anchor="_Toc201012674" w:history="1">
        <w:r w:rsidRPr="003B1E13">
          <w:rPr>
            <w:rStyle w:val="Hipervnculo"/>
            <w:noProof/>
            <w:lang w:val="es-MX"/>
          </w:rPr>
          <w:t>Referencias bibliográficas completas (formato APA)</w:t>
        </w:r>
        <w:r>
          <w:rPr>
            <w:noProof/>
            <w:webHidden/>
          </w:rPr>
          <w:tab/>
        </w:r>
        <w:r>
          <w:rPr>
            <w:noProof/>
            <w:webHidden/>
          </w:rPr>
          <w:fldChar w:fldCharType="begin"/>
        </w:r>
        <w:r>
          <w:rPr>
            <w:noProof/>
            <w:webHidden/>
          </w:rPr>
          <w:instrText xml:space="preserve"> PAGEREF _Toc201012674 \h </w:instrText>
        </w:r>
        <w:r>
          <w:rPr>
            <w:noProof/>
            <w:webHidden/>
          </w:rPr>
        </w:r>
        <w:r>
          <w:rPr>
            <w:noProof/>
            <w:webHidden/>
          </w:rPr>
          <w:fldChar w:fldCharType="separate"/>
        </w:r>
        <w:r>
          <w:rPr>
            <w:noProof/>
            <w:webHidden/>
          </w:rPr>
          <w:t>9</w:t>
        </w:r>
        <w:r>
          <w:rPr>
            <w:noProof/>
            <w:webHidden/>
          </w:rPr>
          <w:fldChar w:fldCharType="end"/>
        </w:r>
      </w:hyperlink>
    </w:p>
    <w:p w14:paraId="7486DEBF" w14:textId="3587B424" w:rsidR="00AD3D13" w:rsidRDefault="00B51DE5" w:rsidP="00FD38E0">
      <w:pPr>
        <w:spacing w:line="480" w:lineRule="auto"/>
        <w:rPr>
          <w:lang w:val="es-MX"/>
        </w:rPr>
      </w:pPr>
      <w:r>
        <w:rPr>
          <w:lang w:val="es-MX"/>
        </w:rPr>
        <w:fldChar w:fldCharType="end"/>
      </w:r>
    </w:p>
    <w:p w14:paraId="78C381B9" w14:textId="77777777" w:rsidR="00AD3D13" w:rsidRDefault="00AD3D13">
      <w:pPr>
        <w:rPr>
          <w:lang w:val="es-MX"/>
        </w:rPr>
      </w:pPr>
      <w:r>
        <w:rPr>
          <w:lang w:val="es-MX"/>
        </w:rPr>
        <w:br w:type="page"/>
      </w:r>
    </w:p>
    <w:p w14:paraId="40691D25" w14:textId="6F797D43" w:rsidR="004911B1" w:rsidRDefault="00260BEC" w:rsidP="002150F5">
      <w:pPr>
        <w:pStyle w:val="Ttulo1"/>
        <w:rPr>
          <w:rFonts w:cs="Arial"/>
          <w:szCs w:val="20"/>
          <w:lang w:val="es-MX"/>
        </w:rPr>
      </w:pPr>
      <w:bookmarkStart w:id="0" w:name="_Toc201012669"/>
      <w:r w:rsidRPr="002150F5">
        <w:rPr>
          <w:rFonts w:ascii="Arial" w:eastAsiaTheme="minorEastAsia" w:hAnsi="Arial" w:cstheme="minorBidi"/>
          <w:bCs w:val="0"/>
          <w:color w:val="006666"/>
          <w:sz w:val="20"/>
          <w:szCs w:val="22"/>
          <w:lang w:val="es-MX"/>
        </w:rPr>
        <w:lastRenderedPageBreak/>
        <w:t>Marco de Referencia</w:t>
      </w:r>
      <w:bookmarkEnd w:id="0"/>
      <w:r w:rsidR="002150F5">
        <w:rPr>
          <w:rFonts w:ascii="Arial" w:hAnsi="Arial" w:cs="Arial"/>
          <w:sz w:val="20"/>
          <w:szCs w:val="20"/>
        </w:rPr>
        <w:br/>
      </w:r>
    </w:p>
    <w:p w14:paraId="24C8E629" w14:textId="77B0458D" w:rsidR="00395FD8" w:rsidRPr="004911B1" w:rsidRDefault="00395FD8" w:rsidP="004911B1">
      <w:pPr>
        <w:jc w:val="both"/>
        <w:rPr>
          <w:rFonts w:cs="Arial"/>
          <w:szCs w:val="20"/>
          <w:lang w:val="es-MX"/>
        </w:rPr>
      </w:pPr>
      <w:r w:rsidRPr="004911B1">
        <w:rPr>
          <w:rFonts w:cs="Arial"/>
          <w:szCs w:val="20"/>
          <w:lang w:val="es-MX"/>
        </w:rPr>
        <w:t xml:space="preserve">El Hospital Zonal General de Agudos “Mario V. </w:t>
      </w:r>
      <w:proofErr w:type="spellStart"/>
      <w:r w:rsidRPr="004911B1">
        <w:rPr>
          <w:rFonts w:cs="Arial"/>
          <w:szCs w:val="20"/>
          <w:lang w:val="es-MX"/>
        </w:rPr>
        <w:t>Larrain</w:t>
      </w:r>
      <w:proofErr w:type="spellEnd"/>
      <w:r w:rsidRPr="004911B1">
        <w:rPr>
          <w:rFonts w:cs="Arial"/>
          <w:szCs w:val="20"/>
          <w:lang w:val="es-MX"/>
        </w:rPr>
        <w:t>” de Berisso, dependiente del Ministerio de Salud de la Provincia de Buenos Aires, constituye el único efector público de segundo nivel en esa ciudad. Fundado en 1948 y ubicado en la Región Sanitaria XI, presta servicios en una zona densamente poblada que no cuenta con una adecuada cobertura de atención primaria. Además de su función asistencial, desarrolla actividades de docencia, investigación y extensión que se articulan desde su Sala de Docencia e Investigación, la cual impulsa propuestas de formación continua en salud. En los últimos años, en consonancia con los desafíos contemporáneos de la educación en el ámbito sanitario, la institución ha comenzado a incorporar tecnologías digitales en sus procesos educativos, destacándose la implementación de un campus Moodle institucional como plataforma de apoyo para sus iniciativas formativas.</w:t>
      </w:r>
    </w:p>
    <w:p w14:paraId="0C4BB3A5" w14:textId="77777777" w:rsidR="00395FD8" w:rsidRPr="004911B1" w:rsidRDefault="00395FD8" w:rsidP="004911B1">
      <w:pPr>
        <w:jc w:val="both"/>
        <w:rPr>
          <w:rFonts w:cs="Arial"/>
          <w:szCs w:val="20"/>
          <w:lang w:val="es-MX"/>
        </w:rPr>
      </w:pPr>
      <w:r w:rsidRPr="004911B1">
        <w:rPr>
          <w:rFonts w:cs="Arial"/>
          <w:szCs w:val="20"/>
          <w:lang w:val="es-MX"/>
        </w:rPr>
        <w:t xml:space="preserve">El análisis de los cursos ofrecidos en dicho campus durante los años 2023 y 2024 revela una alta tasa de inscripción, pero con una </w:t>
      </w:r>
      <w:proofErr w:type="gramStart"/>
      <w:r w:rsidRPr="004911B1">
        <w:rPr>
          <w:rFonts w:cs="Arial"/>
          <w:szCs w:val="20"/>
          <w:lang w:val="es-MX"/>
        </w:rPr>
        <w:t>participación activa</w:t>
      </w:r>
      <w:proofErr w:type="gramEnd"/>
      <w:r w:rsidRPr="004911B1">
        <w:rPr>
          <w:rFonts w:cs="Arial"/>
          <w:szCs w:val="20"/>
          <w:lang w:val="es-MX"/>
        </w:rPr>
        <w:t xml:space="preserve"> considerablemente baja. El uso predominante de la plataforma responde a una lógica administrativa o expositiva, con fuerte énfasis en la descarga de materiales como archivos PDF y certificados. Al mismo tiempo, se observa una escasa integración de actividades interactivas o colaborativas, y la falta de registro de las clases sincrónicas dentro del aula virtual limita su potencial pedagógico. Esta dinámica sugiere que Moodle es percibido por buena parte del personal como un espacio secundario o de apoyo, y no como un verdadero entorno de enseñanza-aprendizaje. A partir de este diagnóstico, se identifica una necesidad concreta y urgente: acompañar a las y los trabajadores del hospital en una apropiación pedagógica más significativa de la plataforma, orientando su uso hacia prácticas activas, colaborativas y situadas que reconozcan el valor formativo de los entornos virtuales.</w:t>
      </w:r>
    </w:p>
    <w:p w14:paraId="1BDEF10A" w14:textId="77777777" w:rsidR="00395FD8" w:rsidRPr="004911B1" w:rsidRDefault="00395FD8" w:rsidP="004911B1">
      <w:pPr>
        <w:jc w:val="both"/>
        <w:rPr>
          <w:rFonts w:cs="Arial"/>
          <w:szCs w:val="20"/>
          <w:lang w:val="es-MX"/>
        </w:rPr>
      </w:pPr>
      <w:r w:rsidRPr="004911B1">
        <w:rPr>
          <w:rFonts w:cs="Arial"/>
          <w:szCs w:val="20"/>
          <w:lang w:val="es-MX"/>
        </w:rPr>
        <w:t>En respuesta a esta necesidad, se propone la implementación del curso virtual “Introducción a la Enseñanza en Entornos Virtuales (Moodle)”, diseñado especialmente para docentes, tutores y personal técnico del hospital. Esta experiencia formativa se desarrolla en modalidad completamente virtual y combina el trabajo asincrónico con espacios de acompañamiento mediados por un asistente inteligente desarrollado en conjunto con el proyecto de extensión OPEN LAB de la Universidad Nacional de Quilmes (UNQ). A través de esta propuesta se promueve la reflexión pedagógica, el intercambio horizontal y la aplicación concreta de saberes docentes en un entorno adaptado a las necesidades del campo sanitario.</w:t>
      </w:r>
    </w:p>
    <w:p w14:paraId="55C64CB2" w14:textId="77777777" w:rsidR="00395FD8" w:rsidRPr="004911B1" w:rsidRDefault="00395FD8" w:rsidP="004911B1">
      <w:pPr>
        <w:jc w:val="both"/>
        <w:rPr>
          <w:rFonts w:cs="Arial"/>
          <w:szCs w:val="20"/>
          <w:lang w:val="es-MX"/>
        </w:rPr>
      </w:pPr>
      <w:r w:rsidRPr="004911B1">
        <w:rPr>
          <w:rFonts w:cs="Arial"/>
          <w:szCs w:val="20"/>
          <w:lang w:val="es-MX"/>
        </w:rPr>
        <w:t>El curso se enmarca en la misión institucional de formación permanente del equipo de salud y en los lineamientos de la Educación Permanente en Salud (EPS), abordando la integración tecnológica desde una perspectiva situada que articula lo pedagógico, lo disciplinar y lo tecnológico, tal como plantea el modelo TPACK. Esta articulación no sólo proporciona un sustento teórico robusto para la propuesta, sino que además permite superar visiones fragmentadas del uso de TIC en contextos educativos. Se busca así fomentar prácticas innovadoras, reflexivas y colaborativas mediante el aprovechamiento de herramientas digitales accesibles, haciendo especial énfasis en el pasaje de un uso técnico-administrativo del campus a una apropiación pedagógica crítica, creativa y contextualizada.</w:t>
      </w:r>
    </w:p>
    <w:p w14:paraId="47CBF071" w14:textId="77777777" w:rsidR="00395FD8" w:rsidRPr="004911B1" w:rsidRDefault="00395FD8" w:rsidP="004911B1">
      <w:pPr>
        <w:jc w:val="both"/>
        <w:rPr>
          <w:rFonts w:cs="Arial"/>
          <w:szCs w:val="20"/>
          <w:lang w:val="es-MX"/>
        </w:rPr>
      </w:pPr>
      <w:r w:rsidRPr="004911B1">
        <w:rPr>
          <w:rFonts w:cs="Arial"/>
          <w:szCs w:val="20"/>
          <w:lang w:val="es-MX"/>
        </w:rPr>
        <w:t xml:space="preserve">Los destinatarios de esta propuesta son docentes, tutores, residentes y personal técnico del hospital con funciones formativas. Se trata de un colectivo heterogéneo en cuanto a niveles de familiaridad con Moodle, lo que exige un diseño didáctico flexible, con actividades de complejidad creciente, estrategias de andamiaje y apoyos diferenciados. El diagnóstico inicial, basado en entrevistas, revisión documental e </w:t>
      </w:r>
      <w:r w:rsidRPr="004911B1">
        <w:rPr>
          <w:rFonts w:cs="Arial"/>
          <w:szCs w:val="20"/>
          <w:lang w:val="es-MX"/>
        </w:rPr>
        <w:lastRenderedPageBreak/>
        <w:t>indicadores de uso del campus, permitió detectar tanto una disposición favorable hacia la formación como una necesidad compartida de fortalecer las competencias digitales pedagógicas en el ámbito institucional.</w:t>
      </w:r>
    </w:p>
    <w:p w14:paraId="6128272D" w14:textId="076B4717" w:rsidR="00395FD8" w:rsidRPr="004911B1" w:rsidRDefault="00395FD8" w:rsidP="004911B1">
      <w:pPr>
        <w:jc w:val="both"/>
        <w:rPr>
          <w:rFonts w:cs="Arial"/>
          <w:szCs w:val="20"/>
          <w:lang w:val="es-MX"/>
        </w:rPr>
      </w:pPr>
      <w:r w:rsidRPr="004911B1">
        <w:rPr>
          <w:rFonts w:cs="Arial"/>
          <w:szCs w:val="20"/>
          <w:lang w:val="es-MX"/>
        </w:rPr>
        <w:t xml:space="preserve">La iniciativa cuenta con el acompañamiento activo de actores institucionales clave. El Dr. José Daniel </w:t>
      </w:r>
      <w:proofErr w:type="spellStart"/>
      <w:r w:rsidRPr="004911B1">
        <w:rPr>
          <w:rFonts w:cs="Arial"/>
          <w:szCs w:val="20"/>
          <w:lang w:val="es-MX"/>
        </w:rPr>
        <w:t>Bosia</w:t>
      </w:r>
      <w:proofErr w:type="spellEnd"/>
      <w:r w:rsidRPr="004911B1">
        <w:rPr>
          <w:rFonts w:cs="Arial"/>
          <w:szCs w:val="20"/>
          <w:lang w:val="es-MX"/>
        </w:rPr>
        <w:t xml:space="preserve">, </w:t>
      </w:r>
      <w:r w:rsidR="0006229D" w:rsidRPr="004911B1">
        <w:rPr>
          <w:rFonts w:cs="Arial"/>
          <w:szCs w:val="20"/>
          <w:lang w:val="es-MX"/>
        </w:rPr>
        <w:t>jefe</w:t>
      </w:r>
      <w:r w:rsidRPr="004911B1">
        <w:rPr>
          <w:rFonts w:cs="Arial"/>
          <w:szCs w:val="20"/>
          <w:lang w:val="es-MX"/>
        </w:rPr>
        <w:t xml:space="preserve"> de la Sala de Docencia e Investigación, cumple el rol de referente institucional y coordinador general del proyecto. El equipo técnico de la sala participa en la logística, la comunicación interna y la sistematización de los avances, mientras que el proyecto OPEN LAB de la UNQ asume la </w:t>
      </w:r>
      <w:r w:rsidR="00316D39" w:rsidRPr="004911B1">
        <w:rPr>
          <w:rFonts w:cs="Arial"/>
          <w:szCs w:val="20"/>
          <w:lang w:val="es-MX"/>
        </w:rPr>
        <w:t>corresponsabilidad</w:t>
      </w:r>
      <w:r w:rsidRPr="004911B1">
        <w:rPr>
          <w:rFonts w:cs="Arial"/>
          <w:szCs w:val="20"/>
          <w:lang w:val="es-MX"/>
        </w:rPr>
        <w:t xml:space="preserve"> en el diseño del asistente inteligente y en el análisis de los datos sobre participación y aprendizaje. Además, se proyectan futuras articulaciones con las áreas de Enfermería, Residencias PRIN y SAPS, en línea con los trayectos interprofesionales que la institución promueve para fortalecer la formación integrada de sus equipos.</w:t>
      </w:r>
    </w:p>
    <w:p w14:paraId="65665CCF" w14:textId="77777777" w:rsidR="00395FD8" w:rsidRPr="004911B1" w:rsidRDefault="00395FD8" w:rsidP="004911B1">
      <w:pPr>
        <w:jc w:val="both"/>
        <w:rPr>
          <w:rFonts w:cs="Arial"/>
          <w:szCs w:val="20"/>
          <w:lang w:val="es-MX"/>
        </w:rPr>
      </w:pPr>
      <w:r w:rsidRPr="004911B1">
        <w:rPr>
          <w:rFonts w:cs="Arial"/>
          <w:szCs w:val="20"/>
          <w:lang w:val="es-MX"/>
        </w:rPr>
        <w:t>Dentro de este marco, la incorporación del asistente inteligente como herramienta pedagógica representa no solo una innovación tecnológica, sino también una forma concreta de Recurso Educativo Abierto (REA). De acuerdo con la definición ofrecida por la Guía de la UNESCO (</w:t>
      </w:r>
      <w:proofErr w:type="spellStart"/>
      <w:r w:rsidRPr="004911B1">
        <w:rPr>
          <w:rFonts w:cs="Arial"/>
          <w:szCs w:val="20"/>
          <w:lang w:val="es-MX"/>
        </w:rPr>
        <w:t>Butcher</w:t>
      </w:r>
      <w:proofErr w:type="spellEnd"/>
      <w:r w:rsidRPr="004911B1">
        <w:rPr>
          <w:rFonts w:cs="Arial"/>
          <w:szCs w:val="20"/>
          <w:lang w:val="es-MX"/>
        </w:rPr>
        <w:t>, 2015), los REA son recursos educativos que pueden ser utilizados, adaptados y compartidos libremente, sin restricciones de licencias comerciales. En esta línea, el asistente desarrollado por OPEN LAB se ofrece como un dispositivo abierto, que no solo habilita el acceso libre a información educativa relevante, sino que también potencia el aprendizaje situado, autónomo y personalizado, mediante el análisis automatizado de la participación en entornos virtuales de enseñanza.</w:t>
      </w:r>
    </w:p>
    <w:p w14:paraId="50CA0BA6" w14:textId="77777777" w:rsidR="00395FD8" w:rsidRPr="004911B1" w:rsidRDefault="00395FD8" w:rsidP="004911B1">
      <w:pPr>
        <w:jc w:val="both"/>
        <w:rPr>
          <w:rFonts w:cs="Arial"/>
          <w:szCs w:val="20"/>
          <w:lang w:val="es-MX"/>
        </w:rPr>
      </w:pPr>
      <w:r w:rsidRPr="004911B1">
        <w:rPr>
          <w:rFonts w:cs="Arial"/>
          <w:szCs w:val="20"/>
          <w:lang w:val="es-MX"/>
        </w:rPr>
        <w:t>Su implementación fortalece una cultura institucional basada en el aprendizaje con recursos, rompiendo barreras técnicas y promoviendo el uso estratégico de datos como insumo pedagógico. Esto lo articula directamente con los principios del movimiento REA promovido por la UNESCO: accesibilidad, reutilización, mejora continua y equidad informativa. Al mismo tiempo, el diseño general de la propuesta, sustentado en el modelo TPACK, enfatiza que para integrar tecnologías en los escenarios educativos no basta con conocer sus componentes por separado, sino que es necesario lograr una articulación significativa entre ellos. Así, el asistente inteligente no es concebido como una solución externa, sino como una herramienta pedagógica situada en el contexto sanitario, coherente con las necesidades formativas del hospital y con una intencionalidad educativa clara.</w:t>
      </w:r>
    </w:p>
    <w:p w14:paraId="6F651390" w14:textId="77777777" w:rsidR="00395FD8" w:rsidRPr="004911B1" w:rsidRDefault="00395FD8" w:rsidP="004911B1">
      <w:pPr>
        <w:jc w:val="both"/>
        <w:rPr>
          <w:rFonts w:cs="Arial"/>
          <w:b/>
          <w:bCs/>
          <w:szCs w:val="20"/>
          <w:lang w:val="es-MX"/>
        </w:rPr>
      </w:pPr>
      <w:r w:rsidRPr="004911B1">
        <w:rPr>
          <w:rFonts w:cs="Arial"/>
          <w:szCs w:val="20"/>
          <w:lang w:val="es-MX"/>
        </w:rPr>
        <w:t>Esta orientación permite superar visiones tecnocráticas o instrumentalistas de la tecnología, promoviendo una integración crítica y transformadora de las TIC en los procesos de enseñanza y aprendizaje. Tal como se sostiene en la literatura especializada, “las TIC no se aprenden teorizándolas sino aplicándolas” (</w:t>
      </w:r>
      <w:proofErr w:type="spellStart"/>
      <w:r w:rsidRPr="004911B1">
        <w:rPr>
          <w:rFonts w:cs="Arial"/>
          <w:szCs w:val="20"/>
          <w:lang w:val="es-MX"/>
        </w:rPr>
        <w:t>Cayachoa</w:t>
      </w:r>
      <w:proofErr w:type="spellEnd"/>
      <w:r w:rsidRPr="004911B1">
        <w:rPr>
          <w:rFonts w:cs="Arial"/>
          <w:szCs w:val="20"/>
          <w:lang w:val="es-MX"/>
        </w:rPr>
        <w:t>-Amaya et al., 2020, p. 6). Desde esta perspectiva, el curso se construye como una oportunidad para que los y las participantes se apropien activamente de las herramientas digitales, desarrollen autonomía pedagógica y participen en la construcción colectiva de un nuevo modelo formativo dentro del hospital, donde lo digital se convierte en motor de inclusión, innovación y mejora continua.</w:t>
      </w:r>
    </w:p>
    <w:p w14:paraId="0FC2ADC3" w14:textId="33DC2344" w:rsidR="00661868" w:rsidRDefault="00661868" w:rsidP="004911B1">
      <w:pPr>
        <w:pStyle w:val="Ttulo1"/>
        <w:jc w:val="both"/>
        <w:rPr>
          <w:rFonts w:ascii="Arial" w:hAnsi="Arial" w:cs="Arial"/>
          <w:sz w:val="20"/>
          <w:szCs w:val="20"/>
        </w:rPr>
      </w:pPr>
      <w:bookmarkStart w:id="1" w:name="_Toc201012670"/>
      <w:r w:rsidRPr="002150F5">
        <w:rPr>
          <w:rFonts w:ascii="Arial" w:eastAsiaTheme="minorEastAsia" w:hAnsi="Arial" w:cstheme="minorBidi"/>
          <w:bCs w:val="0"/>
          <w:color w:val="006666"/>
          <w:sz w:val="20"/>
          <w:szCs w:val="22"/>
          <w:lang w:val="es-MX"/>
        </w:rPr>
        <w:t>Fundamentación</w:t>
      </w:r>
      <w:bookmarkEnd w:id="1"/>
      <w:r w:rsidR="002150F5">
        <w:rPr>
          <w:rFonts w:ascii="Arial" w:hAnsi="Arial" w:cs="Arial"/>
          <w:sz w:val="20"/>
          <w:szCs w:val="20"/>
        </w:rPr>
        <w:br/>
      </w:r>
    </w:p>
    <w:p w14:paraId="6F2363C5" w14:textId="77777777" w:rsidR="00395FD8" w:rsidRPr="004911B1" w:rsidRDefault="00395FD8" w:rsidP="004911B1">
      <w:pPr>
        <w:jc w:val="both"/>
        <w:rPr>
          <w:rFonts w:cs="Arial"/>
          <w:szCs w:val="20"/>
          <w:lang w:val="es-MX"/>
        </w:rPr>
      </w:pPr>
      <w:r w:rsidRPr="004911B1">
        <w:rPr>
          <w:rFonts w:cs="Arial"/>
          <w:szCs w:val="20"/>
          <w:lang w:val="es-MX"/>
        </w:rPr>
        <w:t xml:space="preserve">Esta propuesta de enseñanza se construye a partir de tres planos interrelacionados que le dan sentido y coherencia: la especificidad del campo salud-educación, las pedagogías emergentes y el uso ético-formativo de tecnologías como la inteligencia artificial. El diseño general responde a un principio rector que puede sintetizarse en la idea de “entrar por la puerta y no por la ventana”; esto significa que el punto de </w:t>
      </w:r>
      <w:r w:rsidRPr="004911B1">
        <w:rPr>
          <w:rFonts w:cs="Arial"/>
          <w:szCs w:val="20"/>
          <w:lang w:val="es-MX"/>
        </w:rPr>
        <w:lastRenderedPageBreak/>
        <w:t>partida no está en las herramientas disponibles, sino en los sentidos pedagógicos, los propósitos formativos y, sobre todo, en el tipo de sujeto que se desea acompañar en su proceso de aprendizaje.</w:t>
      </w:r>
    </w:p>
    <w:p w14:paraId="082C2F79" w14:textId="77777777" w:rsidR="00395FD8" w:rsidRPr="004911B1" w:rsidRDefault="00395FD8" w:rsidP="004911B1">
      <w:pPr>
        <w:jc w:val="both"/>
        <w:rPr>
          <w:rFonts w:cs="Arial"/>
          <w:szCs w:val="20"/>
          <w:lang w:val="es-MX"/>
        </w:rPr>
      </w:pPr>
      <w:r w:rsidRPr="004911B1">
        <w:rPr>
          <w:rFonts w:cs="Arial"/>
          <w:szCs w:val="20"/>
          <w:lang w:val="es-MX"/>
        </w:rPr>
        <w:t>Enseñar en contextos hospitalarios implica reconocer que el aprendizaje no se reduce a lo técnico. Por el contrario, se configura como una experiencia compleja en la que confluyen dimensiones éticas, comunicacionales, digitales y sociales. Desde esta comprensión, la propuesta plantea una progresión formativa orientada a fortalecer el rol educativo del equipo de salud, promoviendo la construcción de un saber pedagógico situado que dialogue con la práctica cotidiana, permita resignificarla y habilite procesos de reflexión crítica sobre ella.</w:t>
      </w:r>
    </w:p>
    <w:p w14:paraId="24DC8A48" w14:textId="77777777" w:rsidR="00395FD8" w:rsidRPr="004911B1" w:rsidRDefault="00395FD8" w:rsidP="004911B1">
      <w:pPr>
        <w:jc w:val="both"/>
        <w:rPr>
          <w:rFonts w:cs="Arial"/>
          <w:szCs w:val="20"/>
          <w:lang w:val="es-MX"/>
        </w:rPr>
      </w:pPr>
      <w:r w:rsidRPr="004911B1">
        <w:rPr>
          <w:rFonts w:cs="Arial"/>
          <w:szCs w:val="20"/>
          <w:lang w:val="es-MX"/>
        </w:rPr>
        <w:t>Inspirada en pedagogías abiertas, emancipadoras y disruptivas, esta propuesta busca deliberadamente desnaturalizar las formas tradicionales de enseñanza centradas en la transmisión de contenidos, para dar lugar a la construcción colectiva del conocimiento, la problematización de los saberes y el aprendizaje significativo. En este marco, se valora la enseñanza divergente, en la que el error, la exploración, la pregunta y el descubrimiento no son obstáculos, sino motores del aprendizaje. Esta concepción permite resignificar la experiencia formativa como un camino en el que el trayecto vale tanto como la meta.</w:t>
      </w:r>
    </w:p>
    <w:p w14:paraId="29D5698C" w14:textId="77777777" w:rsidR="00395FD8" w:rsidRPr="004911B1" w:rsidRDefault="00395FD8" w:rsidP="004911B1">
      <w:pPr>
        <w:jc w:val="both"/>
        <w:rPr>
          <w:rFonts w:cs="Arial"/>
          <w:szCs w:val="20"/>
          <w:lang w:val="es-MX"/>
        </w:rPr>
      </w:pPr>
      <w:r w:rsidRPr="004911B1">
        <w:rPr>
          <w:rFonts w:cs="Arial"/>
          <w:szCs w:val="20"/>
          <w:lang w:val="es-MX"/>
        </w:rPr>
        <w:t xml:space="preserve">Siguiendo a </w:t>
      </w:r>
      <w:proofErr w:type="spellStart"/>
      <w:r w:rsidRPr="004911B1">
        <w:rPr>
          <w:rFonts w:cs="Arial"/>
          <w:szCs w:val="20"/>
          <w:lang w:val="es-MX"/>
        </w:rPr>
        <w:t>Steiman</w:t>
      </w:r>
      <w:proofErr w:type="spellEnd"/>
      <w:r w:rsidRPr="004911B1">
        <w:rPr>
          <w:rFonts w:cs="Arial"/>
          <w:szCs w:val="20"/>
          <w:lang w:val="es-MX"/>
        </w:rPr>
        <w:t xml:space="preserve"> (2008), quien señala que la reflexión docente debe partir de advertencias, tensiones y posibilidades reales, la secuencia didáctica propuesta transita desde una etapa de consulta diagnóstica hacia espacios colaborativos como los glosarios, para culminar en el diseño de propuestas pedagógicas que integren de forma crítica tecnologías emergentes. Este recorrido se articula con la lógica de los Entornos Personales de Aprendizaje (EPA/PLE), habilitando trayectorias flexibles y personalizadas, en sintonía con los intereses y necesidades del grupo participante.</w:t>
      </w:r>
    </w:p>
    <w:p w14:paraId="3A5175F3" w14:textId="77777777" w:rsidR="00395FD8" w:rsidRPr="004911B1" w:rsidRDefault="00395FD8" w:rsidP="004911B1">
      <w:pPr>
        <w:jc w:val="both"/>
        <w:rPr>
          <w:rFonts w:cs="Arial"/>
          <w:szCs w:val="20"/>
          <w:lang w:val="es-MX"/>
        </w:rPr>
      </w:pPr>
      <w:r w:rsidRPr="004911B1">
        <w:rPr>
          <w:rFonts w:cs="Arial"/>
          <w:szCs w:val="20"/>
          <w:lang w:val="es-MX"/>
        </w:rPr>
        <w:t xml:space="preserve">Desde la mirada de </w:t>
      </w:r>
      <w:proofErr w:type="spellStart"/>
      <w:r w:rsidRPr="004911B1">
        <w:rPr>
          <w:rFonts w:cs="Arial"/>
          <w:szCs w:val="20"/>
          <w:lang w:val="es-MX"/>
        </w:rPr>
        <w:t>Krichesky</w:t>
      </w:r>
      <w:proofErr w:type="spellEnd"/>
      <w:r w:rsidRPr="004911B1">
        <w:rPr>
          <w:rFonts w:cs="Arial"/>
          <w:szCs w:val="20"/>
          <w:lang w:val="es-MX"/>
        </w:rPr>
        <w:t xml:space="preserve"> (2016), quien sostiene que planificar no consiste en aplicar una receta sino en asumir una práctica reflexiva, situada y transformadora, se entiende que la planificación no se reduce a enumerar actividades. Por el contrario, se concibe como un proceso de toma de decisiones fundadas respecto a qué enseñar, cómo hacerlo, con qué recursos y con qué propósito, en un diálogo constante con el contexto institucional y social. En ese sentido, cada decisión didáctica se reconoce como un acto pedagógico y político, que interpela a los actores institucionales desde una perspectiva crítica y situada, orientada a construir aprendizajes significativos y con sentido.</w:t>
      </w:r>
    </w:p>
    <w:p w14:paraId="03ACE9DA" w14:textId="77777777" w:rsidR="00395FD8" w:rsidRPr="004911B1" w:rsidRDefault="00395FD8" w:rsidP="004911B1">
      <w:pPr>
        <w:jc w:val="both"/>
        <w:rPr>
          <w:rFonts w:cs="Arial"/>
          <w:szCs w:val="20"/>
          <w:lang w:val="es-MX"/>
        </w:rPr>
      </w:pPr>
      <w:r w:rsidRPr="004911B1">
        <w:rPr>
          <w:rFonts w:cs="Arial"/>
          <w:szCs w:val="20"/>
          <w:lang w:val="es-MX"/>
        </w:rPr>
        <w:t>En concordancia con esta perspectiva, el uso de Moodle y de herramientas basadas en inteligencia artificial no se plantea desde una lógica tecnocrática, sino como parte de un andamiaje pedagógico coherente con las necesidades del entorno. En lugar de partir de las potencialidades de la tecnología, se parte de lo que los estudiantes necesitan construir, compartir y problematizar. Así, se prioriza el sentido pedagógico por sobre la herramienta, en una línea de diseño formativo que reconoce a la tecnología como medio y no como fin.</w:t>
      </w:r>
    </w:p>
    <w:p w14:paraId="17947836" w14:textId="77777777" w:rsidR="00395FD8" w:rsidRPr="004911B1" w:rsidRDefault="00395FD8" w:rsidP="004911B1">
      <w:pPr>
        <w:jc w:val="both"/>
        <w:rPr>
          <w:rFonts w:cs="Arial"/>
          <w:szCs w:val="20"/>
          <w:lang w:val="es-MX"/>
        </w:rPr>
      </w:pPr>
      <w:r w:rsidRPr="004911B1">
        <w:rPr>
          <w:rFonts w:cs="Arial"/>
          <w:szCs w:val="20"/>
          <w:lang w:val="es-MX"/>
        </w:rPr>
        <w:t>El asistente de inteligencia artificial desarrollado —y recientemente distinguido por el Banco Interamericano de Desarrollo— no busca en ningún momento reemplazar al rol docente, sino que se integra como un recurso que habilita procesos más autónomos, personalizados y accesibles para los participantes. Esta concepción se encuentra alineada con lo planteado por Adell y Castañeda (2012), quienes entienden que las pedagogías emergentes surgen de la convergencia entre nuevas formas de aprendizaje social, las tecnologías digitales y una mirada crítica sobre el conocimiento en la sociedad contemporánea.</w:t>
      </w:r>
    </w:p>
    <w:p w14:paraId="72D9CA92" w14:textId="77777777" w:rsidR="00395FD8" w:rsidRPr="004911B1" w:rsidRDefault="00395FD8" w:rsidP="004911B1">
      <w:pPr>
        <w:jc w:val="both"/>
        <w:rPr>
          <w:rFonts w:cs="Arial"/>
          <w:b/>
          <w:bCs/>
          <w:szCs w:val="20"/>
          <w:lang w:val="es-MX"/>
        </w:rPr>
      </w:pPr>
      <w:r w:rsidRPr="004911B1">
        <w:rPr>
          <w:rFonts w:cs="Arial"/>
          <w:szCs w:val="20"/>
          <w:lang w:val="es-MX"/>
        </w:rPr>
        <w:t xml:space="preserve">Si bien la propuesta no se inscribe de manera estricta en una lógica </w:t>
      </w:r>
      <w:proofErr w:type="spellStart"/>
      <w:r w:rsidRPr="004911B1">
        <w:rPr>
          <w:rFonts w:cs="Arial"/>
          <w:szCs w:val="20"/>
          <w:lang w:val="es-MX"/>
        </w:rPr>
        <w:t>transmedia</w:t>
      </w:r>
      <w:proofErr w:type="spellEnd"/>
      <w:r w:rsidRPr="004911B1">
        <w:rPr>
          <w:rFonts w:cs="Arial"/>
          <w:szCs w:val="20"/>
          <w:lang w:val="es-MX"/>
        </w:rPr>
        <w:t xml:space="preserve">, incorpora una multiplicidad de lenguajes y canales —como videos, materiales colaborativos, glosarios, foros, encuentros sincrónicos y </w:t>
      </w:r>
      <w:r w:rsidRPr="004911B1">
        <w:rPr>
          <w:rFonts w:cs="Arial"/>
          <w:szCs w:val="20"/>
          <w:lang w:val="es-MX"/>
        </w:rPr>
        <w:lastRenderedPageBreak/>
        <w:t xml:space="preserve">asincrónicos— que configuran una narrativa pedagógica distribuida, adaptada a los escenarios híbridos que predominan en la actualidad. En ese mismo marco, se contempla la integración de casos simulados mediados por el asistente de inteligencia artificial, como estrategia </w:t>
      </w:r>
      <w:proofErr w:type="spellStart"/>
      <w:r w:rsidRPr="004911B1">
        <w:rPr>
          <w:rFonts w:cs="Arial"/>
          <w:szCs w:val="20"/>
          <w:lang w:val="es-MX"/>
        </w:rPr>
        <w:t>gamificada</w:t>
      </w:r>
      <w:proofErr w:type="spellEnd"/>
      <w:r w:rsidRPr="004911B1">
        <w:rPr>
          <w:rFonts w:cs="Arial"/>
          <w:szCs w:val="20"/>
          <w:lang w:val="es-MX"/>
        </w:rPr>
        <w:t xml:space="preserve"> que permite articular el aprendizaje experiencial con la resolución de problemas reales, promoviendo la toma de decisiones formativas en entornos seguros, controlados y contextualizados.</w:t>
      </w:r>
    </w:p>
    <w:p w14:paraId="260AD68A" w14:textId="077D740D" w:rsidR="00661868" w:rsidRPr="002150F5" w:rsidRDefault="00661868" w:rsidP="004911B1">
      <w:pPr>
        <w:pStyle w:val="Ttulo1"/>
        <w:jc w:val="both"/>
        <w:rPr>
          <w:rFonts w:ascii="Arial" w:eastAsiaTheme="minorEastAsia" w:hAnsi="Arial" w:cstheme="minorBidi"/>
          <w:bCs w:val="0"/>
          <w:color w:val="006666"/>
          <w:sz w:val="20"/>
          <w:szCs w:val="22"/>
          <w:lang w:val="es-MX"/>
        </w:rPr>
      </w:pPr>
      <w:bookmarkStart w:id="2" w:name="_Toc201012671"/>
      <w:r w:rsidRPr="002150F5">
        <w:rPr>
          <w:rFonts w:ascii="Arial" w:eastAsiaTheme="minorEastAsia" w:hAnsi="Arial" w:cstheme="minorBidi"/>
          <w:bCs w:val="0"/>
          <w:color w:val="006666"/>
          <w:sz w:val="20"/>
          <w:szCs w:val="22"/>
          <w:lang w:val="es-MX"/>
        </w:rPr>
        <w:t>Propósitos y Objetivos</w:t>
      </w:r>
      <w:bookmarkEnd w:id="2"/>
    </w:p>
    <w:p w14:paraId="49E22F8B" w14:textId="77777777" w:rsidR="00395FD8" w:rsidRPr="004911B1" w:rsidRDefault="00AA4D5E" w:rsidP="004911B1">
      <w:pPr>
        <w:jc w:val="both"/>
        <w:rPr>
          <w:rFonts w:cs="Arial"/>
          <w:szCs w:val="20"/>
        </w:rPr>
      </w:pPr>
      <w:r w:rsidRPr="004911B1">
        <w:rPr>
          <w:rFonts w:cs="Arial"/>
          <w:szCs w:val="20"/>
        </w:rPr>
        <w:br/>
      </w:r>
      <w:r w:rsidR="00395FD8" w:rsidRPr="004911B1">
        <w:rPr>
          <w:rFonts w:cs="Arial"/>
          <w:szCs w:val="20"/>
        </w:rPr>
        <w:t>El propósito general de esta propuesta consiste en promover el desarrollo de competencias pedagógicas situadas en el equipo de salud del Hospital Larraín. Estas competencias permitirán a los y las participantes desempeñar un rol formador desde una perspectiva crítica, reflexiva y ética, integrando tecnologías emergentes en entornos híbridos de enseñanza-aprendizaje. La propuesta se orienta, entonces, a habilitar procesos de formación que transformen el lugar de quienes enseñan en contextos sanitarios, ampliando sus capacidades para acompañar aprendizajes significativos mediados por tecnología.</w:t>
      </w:r>
    </w:p>
    <w:p w14:paraId="0546CC81" w14:textId="77777777" w:rsidR="00395FD8" w:rsidRPr="004911B1" w:rsidRDefault="00395FD8" w:rsidP="004911B1">
      <w:pPr>
        <w:jc w:val="both"/>
        <w:rPr>
          <w:rFonts w:cs="Arial"/>
          <w:szCs w:val="20"/>
        </w:rPr>
      </w:pPr>
      <w:r w:rsidRPr="004911B1">
        <w:rPr>
          <w:rFonts w:cs="Arial"/>
          <w:szCs w:val="20"/>
        </w:rPr>
        <w:t>Al finalizar el recorrido formativo, se espera que los y las participantes comprendan y analicen críticamente las potencialidades del entorno virtual Moodle como soporte pedagógico en contextos hospitalarios, reconociendo su impacto concreto en los procesos de formación continua del equipo de salud. Asimismo, se propone que desarrollen criterios para un uso ético y pedagógico de la inteligencia artificial en la planificación didáctica, valorando tanto sus posibilidades como sus riesgos y limitaciones en escenarios reales de enseñanza. Otro aprendizaje esperado es que puedan diseñar propuestas de enseñanza contextualizadas, que integren herramientas digitales y estrategias colaborativas, poniendo el foco en la construcción de vínculos pedagógicos sólidos y en el acompañamiento formativo en entornos híbridos. Finalmente, se aspira a que apliquen sus saberes profesionales, experienciales y teóricos en la elaboración de itinerarios didácticos coherentes, sustentados en una planificación situada, abierta al diálogo institucional y orientada a la mejora continua.</w:t>
      </w:r>
    </w:p>
    <w:p w14:paraId="08201EA6" w14:textId="06D36391" w:rsidR="00395FD8" w:rsidRPr="004911B1" w:rsidRDefault="00395FD8" w:rsidP="004911B1">
      <w:pPr>
        <w:jc w:val="both"/>
        <w:rPr>
          <w:rFonts w:cs="Arial"/>
          <w:szCs w:val="20"/>
        </w:rPr>
      </w:pPr>
      <w:r w:rsidRPr="004911B1">
        <w:rPr>
          <w:rFonts w:cs="Arial"/>
          <w:szCs w:val="20"/>
        </w:rPr>
        <w:t xml:space="preserve">Tal como plantea </w:t>
      </w:r>
      <w:proofErr w:type="spellStart"/>
      <w:r w:rsidRPr="004911B1">
        <w:rPr>
          <w:rFonts w:cs="Arial"/>
          <w:szCs w:val="20"/>
        </w:rPr>
        <w:t>Krichesky</w:t>
      </w:r>
      <w:proofErr w:type="spellEnd"/>
      <w:r w:rsidRPr="004911B1">
        <w:rPr>
          <w:rFonts w:cs="Arial"/>
          <w:szCs w:val="20"/>
        </w:rPr>
        <w:t xml:space="preserve"> (2016), los objetivos deben formularse en función de los aprendizajes esperados en quienes se forman, y no centrarse únicamente en la acción del capacitador. Por esta razón, la propuesta pone el acento en aquello que los estudiantes serán capaces de comprender, aplicar, analizar o transformar como resultado del proceso formativo, consolidando así un enfoque centrado en el sujeto que aprende y en la construcción colectiva del conocimiento.</w:t>
      </w:r>
    </w:p>
    <w:p w14:paraId="159DBD4B" w14:textId="3588C740" w:rsidR="00F87EF6" w:rsidRPr="004911B1" w:rsidRDefault="00F87EF6" w:rsidP="002150F5">
      <w:pPr>
        <w:pStyle w:val="Ttulo1"/>
        <w:jc w:val="both"/>
        <w:rPr>
          <w:rFonts w:ascii="Arial" w:hAnsi="Arial" w:cs="Arial"/>
          <w:sz w:val="20"/>
          <w:szCs w:val="20"/>
        </w:rPr>
      </w:pPr>
      <w:bookmarkStart w:id="3" w:name="_Toc201012672"/>
      <w:r w:rsidRPr="002150F5">
        <w:rPr>
          <w:rFonts w:ascii="Arial" w:eastAsiaTheme="minorEastAsia" w:hAnsi="Arial" w:cstheme="minorBidi"/>
          <w:bCs w:val="0"/>
          <w:color w:val="006666"/>
          <w:sz w:val="20"/>
          <w:szCs w:val="22"/>
          <w:lang w:val="es-MX"/>
        </w:rPr>
        <w:t>Interacciones</w:t>
      </w:r>
      <w:bookmarkEnd w:id="3"/>
      <w:r w:rsidR="002150F5">
        <w:rPr>
          <w:rFonts w:ascii="Arial" w:hAnsi="Arial" w:cs="Arial"/>
          <w:sz w:val="20"/>
          <w:szCs w:val="20"/>
        </w:rPr>
        <w:br/>
      </w:r>
    </w:p>
    <w:p w14:paraId="2721FB25" w14:textId="533CA36C" w:rsidR="00395FD8" w:rsidRPr="004911B1" w:rsidRDefault="00395FD8" w:rsidP="004911B1">
      <w:pPr>
        <w:jc w:val="both"/>
        <w:rPr>
          <w:rFonts w:cs="Arial"/>
          <w:szCs w:val="20"/>
        </w:rPr>
      </w:pPr>
      <w:r w:rsidRPr="004911B1">
        <w:rPr>
          <w:rFonts w:cs="Arial"/>
          <w:szCs w:val="20"/>
        </w:rPr>
        <w:t xml:space="preserve">La propuesta se despliega en estrecha articulación con el Dr. José Daniel </w:t>
      </w:r>
      <w:proofErr w:type="spellStart"/>
      <w:r w:rsidRPr="004911B1">
        <w:rPr>
          <w:rFonts w:cs="Arial"/>
          <w:szCs w:val="20"/>
        </w:rPr>
        <w:t>Bosia</w:t>
      </w:r>
      <w:proofErr w:type="spellEnd"/>
      <w:r w:rsidRPr="004911B1">
        <w:rPr>
          <w:rFonts w:cs="Arial"/>
          <w:szCs w:val="20"/>
        </w:rPr>
        <w:t xml:space="preserve">, quien se desempeña como </w:t>
      </w:r>
      <w:r w:rsidR="00316D39" w:rsidRPr="004911B1">
        <w:rPr>
          <w:rFonts w:cs="Arial"/>
          <w:szCs w:val="20"/>
        </w:rPr>
        <w:t>jefe</w:t>
      </w:r>
      <w:r w:rsidRPr="004911B1">
        <w:rPr>
          <w:rFonts w:cs="Arial"/>
          <w:szCs w:val="20"/>
        </w:rPr>
        <w:t xml:space="preserve"> de la Sala de Docencia e Investigación del Hospital Zonal de Berisso y participa activamente en el diseño, la validación y la adecuación institucional de la experiencia. A su vez, el equipo técnico-docente del hospital asume un rol protagónico como sujeto activo del proceso formativo, aportando saberes construidos desde su práctica cotidiana y resignificando colectivamente los sentidos, los formatos y las estrategias pedagógicas que se proponen. Esta forma de construcción conjunta da lugar a una propuesta que no se impone desde afuera, sino que se forja a través del diálogo constante con el entorno institucional, reconociendo las tensiones, desafíos y posibilidades reales del contexto hospitalario.</w:t>
      </w:r>
    </w:p>
    <w:p w14:paraId="3EE7152B" w14:textId="5EA6B237" w:rsidR="00395FD8" w:rsidRPr="004911B1" w:rsidRDefault="00395FD8" w:rsidP="004911B1">
      <w:pPr>
        <w:jc w:val="both"/>
        <w:rPr>
          <w:rFonts w:cs="Arial"/>
          <w:szCs w:val="20"/>
        </w:rPr>
      </w:pPr>
      <w:r w:rsidRPr="004911B1">
        <w:rPr>
          <w:rFonts w:cs="Arial"/>
          <w:szCs w:val="20"/>
        </w:rPr>
        <w:lastRenderedPageBreak/>
        <w:t xml:space="preserve">La modalidad de trabajo adoptada se sustenta en el enfoque de planificación situada propuesto por </w:t>
      </w:r>
      <w:proofErr w:type="spellStart"/>
      <w:r w:rsidRPr="004911B1">
        <w:rPr>
          <w:rFonts w:cs="Arial"/>
          <w:szCs w:val="20"/>
        </w:rPr>
        <w:t>Krichesky</w:t>
      </w:r>
      <w:proofErr w:type="spellEnd"/>
      <w:r w:rsidRPr="004911B1">
        <w:rPr>
          <w:rFonts w:cs="Arial"/>
          <w:szCs w:val="20"/>
        </w:rPr>
        <w:t xml:space="preserve"> (2016), quien concibe a los actores institucionales no como meros receptores de propuestas, sino como coproductores del sentido pedagógico. En este enfoque, cada decisión didáctica se construye de forma contextualizada, en diálogo con las experiencias, necesidades y saberes del equipo de salud, promoviendo así una apropiación genuina de los procesos formativos.</w:t>
      </w:r>
    </w:p>
    <w:p w14:paraId="758CAF8C" w14:textId="53BFE515" w:rsidR="00395FD8" w:rsidRPr="004911B1" w:rsidRDefault="00395FD8" w:rsidP="004911B1">
      <w:pPr>
        <w:jc w:val="both"/>
        <w:rPr>
          <w:rFonts w:cs="Arial"/>
          <w:szCs w:val="20"/>
        </w:rPr>
      </w:pPr>
      <w:r w:rsidRPr="004911B1">
        <w:rPr>
          <w:rFonts w:cs="Arial"/>
          <w:szCs w:val="20"/>
        </w:rPr>
        <w:t xml:space="preserve">En este marco, el rol docente se redefine como el de un acompañante pedagógico continuo, cuya función principal es mediar los aprendizajes mediante intervenciones sincrónicas, como encuentros optativos por videoconferencia o tutorías virtuales, y también a través de instancias asincrónicas que incluyen el seguimiento en foros, la retroalimentación personalizada y la orientación para la toma de decisiones </w:t>
      </w:r>
      <w:proofErr w:type="spellStart"/>
      <w:r w:rsidRPr="004911B1">
        <w:rPr>
          <w:rFonts w:cs="Arial"/>
          <w:szCs w:val="20"/>
        </w:rPr>
        <w:t>tecnodidácticas</w:t>
      </w:r>
      <w:proofErr w:type="spellEnd"/>
      <w:r w:rsidRPr="004911B1">
        <w:rPr>
          <w:rFonts w:cs="Arial"/>
          <w:szCs w:val="20"/>
        </w:rPr>
        <w:t>. Lejos de limitarse a brindar soporte técnico, este acompañamiento se orienta a habilitar espacios de reflexión crítica, colaboración horizontal y formación ética a lo largo de todo el itinerario propuesto.</w:t>
      </w:r>
    </w:p>
    <w:p w14:paraId="7493F0DD" w14:textId="41BFA608" w:rsidR="00395FD8" w:rsidRPr="004911B1" w:rsidRDefault="00395FD8" w:rsidP="004911B1">
      <w:pPr>
        <w:jc w:val="both"/>
        <w:rPr>
          <w:rFonts w:cs="Arial"/>
          <w:b/>
          <w:bCs/>
          <w:szCs w:val="20"/>
        </w:rPr>
      </w:pPr>
      <w:r w:rsidRPr="004911B1">
        <w:rPr>
          <w:rFonts w:cs="Arial"/>
          <w:szCs w:val="20"/>
        </w:rPr>
        <w:t>Al mismo tiempo, se promueve activamente la construcción de una comunidad de aprendizaje entre pares, entendiendo que las interacciones horizontales entre participantes resultan tan significativas como la mediación ejercida por el equipo docente. En este sentido, se fomentan prácticas como la coevaluación, el intercambio de experiencias, la resolución conjunta de casos simulados y la apropiación compartida de las herramientas digitales, configurando un espacio formativo colectivo, situado y transformador.</w:t>
      </w:r>
    </w:p>
    <w:p w14:paraId="6E7DB82B" w14:textId="431032BE" w:rsidR="004911B1" w:rsidRDefault="00E07418" w:rsidP="002150F5">
      <w:pPr>
        <w:pStyle w:val="Ttulo1"/>
        <w:rPr>
          <w:rFonts w:cs="Arial"/>
          <w:szCs w:val="20"/>
        </w:rPr>
      </w:pPr>
      <w:bookmarkStart w:id="4" w:name="_Toc201012673"/>
      <w:r w:rsidRPr="002150F5">
        <w:rPr>
          <w:rFonts w:ascii="Arial" w:eastAsiaTheme="minorEastAsia" w:hAnsi="Arial" w:cstheme="minorBidi"/>
          <w:bCs w:val="0"/>
          <w:color w:val="006666"/>
          <w:sz w:val="20"/>
          <w:szCs w:val="22"/>
          <w:lang w:val="es-MX"/>
        </w:rPr>
        <w:t>Propuesta de enseñanza: Itinerario de aprendizaje</w:t>
      </w:r>
      <w:bookmarkEnd w:id="4"/>
      <w:r w:rsidR="002150F5">
        <w:rPr>
          <w:rFonts w:ascii="Arial" w:hAnsi="Arial" w:cs="Arial"/>
          <w:sz w:val="20"/>
          <w:szCs w:val="20"/>
        </w:rPr>
        <w:br/>
      </w:r>
    </w:p>
    <w:p w14:paraId="09E96E3F" w14:textId="3914D009" w:rsidR="00F87EF6" w:rsidRPr="004911B1" w:rsidRDefault="00F87EF6" w:rsidP="004911B1">
      <w:pPr>
        <w:jc w:val="both"/>
        <w:rPr>
          <w:rFonts w:cs="Arial"/>
          <w:szCs w:val="20"/>
        </w:rPr>
      </w:pPr>
      <w:r w:rsidRPr="004911B1">
        <w:rPr>
          <w:rFonts w:cs="Arial"/>
          <w:szCs w:val="20"/>
        </w:rPr>
        <w:t>El recorrido formativo propuesto se organiza en una secuencia de seis instancias progresivas que integran modalidad asincrónica, espacios de acompañamiento sincrónico optativo y seguimiento docente personalizado, todo enmarcado en el entorno virtual institucional basado en Moodle. Esta secuencia busca construir aprendizajes significativos a partir de la acción reflexiva, el diseño pedagógico y la apropiación crítica de herramientas tecnológicas.</w:t>
      </w:r>
    </w:p>
    <w:p w14:paraId="5B370BFA" w14:textId="77777777" w:rsidR="00F87EF6" w:rsidRPr="004911B1" w:rsidRDefault="00F87EF6" w:rsidP="004911B1">
      <w:pPr>
        <w:jc w:val="both"/>
        <w:rPr>
          <w:rFonts w:cs="Arial"/>
          <w:szCs w:val="20"/>
        </w:rPr>
      </w:pPr>
      <w:r w:rsidRPr="004911B1">
        <w:rPr>
          <w:rFonts w:cs="Arial"/>
          <w:szCs w:val="20"/>
        </w:rPr>
        <w:t xml:space="preserve">La primera etapa del trayecto está orientada a favorecer el reconocimiento del aula virtual como entorno pedagógico. A través de una exploración inicial del espacio Moodle y la revisión de materiales introductorios, se invita a los y las participantes a tomar contacto con las funciones básicas de la plataforma. Se promueve además la construcción de un glosario colaborativo y la participación en una encuesta diagnóstica sobre experiencias previas, lo cual permite un primer acercamiento al perfil formativo del grupo. Esta etapa propone repensar el campus virtual más allá de su uso como repositorio, habilitando su comprensión como un entorno de interacción, seguimiento y acompañamiento pedagógico. La retroalimentación individual y la </w:t>
      </w:r>
      <w:proofErr w:type="gramStart"/>
      <w:r w:rsidRPr="004911B1">
        <w:rPr>
          <w:rFonts w:cs="Arial"/>
          <w:szCs w:val="20"/>
        </w:rPr>
        <w:t>participación activa</w:t>
      </w:r>
      <w:proofErr w:type="gramEnd"/>
      <w:r w:rsidRPr="004911B1">
        <w:rPr>
          <w:rFonts w:cs="Arial"/>
          <w:szCs w:val="20"/>
        </w:rPr>
        <w:t xml:space="preserve"> del equipo docente en los foros fortalecen desde el inicio el acompañamiento personalizado.</w:t>
      </w:r>
    </w:p>
    <w:p w14:paraId="69D34C49" w14:textId="77777777" w:rsidR="00F87EF6" w:rsidRPr="004911B1" w:rsidRDefault="00F87EF6" w:rsidP="004911B1">
      <w:pPr>
        <w:jc w:val="both"/>
        <w:rPr>
          <w:rFonts w:cs="Arial"/>
          <w:szCs w:val="20"/>
        </w:rPr>
      </w:pPr>
      <w:r w:rsidRPr="004911B1">
        <w:rPr>
          <w:rFonts w:cs="Arial"/>
          <w:szCs w:val="20"/>
        </w:rPr>
        <w:t xml:space="preserve">En la segunda instancia, se abordan los fundamentos teóricos vinculados a la enseñanza en entornos digitales. La lectura de textos clave y la participación en espacios de mapeo conceptual colectivo permiten vincular las prácticas pedagógicas de los participantes con distintos marcos teóricos. Se analizan experiencias previas con tecnología, identificando logros y desafíos, y se propone la elaboración de un diario reflexivo como herramienta para afianzar las primeras decisiones </w:t>
      </w:r>
      <w:proofErr w:type="spellStart"/>
      <w:r w:rsidRPr="004911B1">
        <w:rPr>
          <w:rFonts w:cs="Arial"/>
          <w:szCs w:val="20"/>
        </w:rPr>
        <w:t>tecnodidácticas</w:t>
      </w:r>
      <w:proofErr w:type="spellEnd"/>
      <w:r w:rsidRPr="004911B1">
        <w:rPr>
          <w:rFonts w:cs="Arial"/>
          <w:szCs w:val="20"/>
        </w:rPr>
        <w:t>. La moderación de los foros por parte del equipo docente, así como las devoluciones individualizadas, promueven un vínculo constante entre teoría, práctica y contexto.</w:t>
      </w:r>
    </w:p>
    <w:p w14:paraId="6A227DE2" w14:textId="77777777" w:rsidR="00F87EF6" w:rsidRPr="004911B1" w:rsidRDefault="00F87EF6" w:rsidP="004911B1">
      <w:pPr>
        <w:jc w:val="both"/>
        <w:rPr>
          <w:rFonts w:cs="Arial"/>
          <w:szCs w:val="20"/>
        </w:rPr>
      </w:pPr>
      <w:r w:rsidRPr="004911B1">
        <w:rPr>
          <w:rFonts w:cs="Arial"/>
          <w:szCs w:val="20"/>
        </w:rPr>
        <w:lastRenderedPageBreak/>
        <w:t>La tercera etapa se enfoca en el diseño de aulas, promoviendo una lógica de aprender haciendo. Cada participante accede a un aula de práctica personalizada en la que experimenta con la creación de secuencias didácticas simples, explorando recursos como páginas, etiquetas y archivos. La propuesta se complementa con la lectura de materiales de apoyo y culmina con el diseño de una clase simulada. El acompañamiento se canaliza a través de foros y comentarios específicos sobre los avances, propiciando un espacio de experimentación seguro y orientado a la mejora continua.</w:t>
      </w:r>
    </w:p>
    <w:p w14:paraId="4844407C" w14:textId="77777777" w:rsidR="00F87EF6" w:rsidRPr="004911B1" w:rsidRDefault="00F87EF6" w:rsidP="004911B1">
      <w:pPr>
        <w:jc w:val="both"/>
        <w:rPr>
          <w:rFonts w:cs="Arial"/>
          <w:szCs w:val="20"/>
        </w:rPr>
      </w:pPr>
      <w:r w:rsidRPr="004911B1">
        <w:rPr>
          <w:rFonts w:cs="Arial"/>
          <w:szCs w:val="20"/>
        </w:rPr>
        <w:t>La cuarta instancia amplía el enfoque hacia la integración de recursos multimedia y formas de interactividad que potencien el aprendizaje. Se trabaja con la incrustación de videos, el diseño visual de etiquetas y la creación de contenidos enriquecidos mediante glosarios, bases de datos y páginas avanzadas. La propuesta se complementa con un foro de intercambio sobre las posibilidades pedagógicas de los recursos digitales, especialmente en el ámbito de la salud. El equipo docente participa activamente ofreciendo ejemplos, sugerencias y orientaciones concretas para mejorar las producciones.</w:t>
      </w:r>
    </w:p>
    <w:p w14:paraId="7D6AB8C6" w14:textId="77777777" w:rsidR="00F87EF6" w:rsidRPr="004911B1" w:rsidRDefault="00F87EF6" w:rsidP="004911B1">
      <w:pPr>
        <w:jc w:val="both"/>
        <w:rPr>
          <w:rFonts w:cs="Arial"/>
          <w:szCs w:val="20"/>
        </w:rPr>
      </w:pPr>
      <w:r w:rsidRPr="004911B1">
        <w:rPr>
          <w:rFonts w:cs="Arial"/>
          <w:szCs w:val="20"/>
        </w:rPr>
        <w:t>En la quinta etapa se profundiza en el diseño de actividades que permitan realizar un seguimiento formativo del aprendizaje. Los y las participantes crean tareas, foros y rúbricas, y reflexionan colectivamente sobre los tipos de interacción que se desea construir. La propuesta enfatiza que las actividades no deben limitarse a la evaluación, sino funcionar como espacios pedagógicos de acompañamiento, retroalimentación y mejora. Un espacio sincrónico optativo permite aclarar dudas y consolidar aprendizajes mediante el intercambio en tiempo real, mientras que las devoluciones docentes brindan un cierre significativo a cada actividad.</w:t>
      </w:r>
    </w:p>
    <w:p w14:paraId="023F7B12" w14:textId="77777777" w:rsidR="00F87EF6" w:rsidRPr="004911B1" w:rsidRDefault="00F87EF6" w:rsidP="004911B1">
      <w:pPr>
        <w:jc w:val="both"/>
        <w:rPr>
          <w:rFonts w:cs="Arial"/>
          <w:szCs w:val="20"/>
        </w:rPr>
      </w:pPr>
      <w:r w:rsidRPr="004911B1">
        <w:rPr>
          <w:rFonts w:cs="Arial"/>
          <w:szCs w:val="20"/>
        </w:rPr>
        <w:t xml:space="preserve">La última instancia está centrada en el análisis crítico de tecnologías emergentes, con especial énfasis en la inteligencia artificial como herramienta formativa. Se presenta un asistente desarrollado específicamente para el curso, que se pone en funcionamiento durante una simulación </w:t>
      </w:r>
      <w:proofErr w:type="spellStart"/>
      <w:r w:rsidRPr="004911B1">
        <w:rPr>
          <w:rFonts w:cs="Arial"/>
          <w:szCs w:val="20"/>
        </w:rPr>
        <w:t>gamificada</w:t>
      </w:r>
      <w:proofErr w:type="spellEnd"/>
      <w:r w:rsidRPr="004911B1">
        <w:rPr>
          <w:rFonts w:cs="Arial"/>
          <w:szCs w:val="20"/>
        </w:rPr>
        <w:t xml:space="preserve"> basada en la resolución de un caso clínico. A partir de esta experiencia, se propicia un debate ético-contextual y se invita a producir propuestas didácticas que integren tecnologías emergentes con propósito pedagógico claro. El equipo docente acompaña con intervenciones orientadoras, moderación del foro y devoluciones personalizadas que cierran el proceso formativo con énfasis en la toma de decisiones reflexiva.</w:t>
      </w:r>
    </w:p>
    <w:p w14:paraId="58610DD2" w14:textId="77777777" w:rsidR="00F87EF6" w:rsidRPr="004911B1" w:rsidRDefault="00F87EF6" w:rsidP="004911B1">
      <w:pPr>
        <w:jc w:val="both"/>
        <w:rPr>
          <w:rFonts w:cs="Arial"/>
          <w:szCs w:val="20"/>
        </w:rPr>
      </w:pPr>
      <w:r w:rsidRPr="004911B1">
        <w:rPr>
          <w:rFonts w:cs="Arial"/>
          <w:szCs w:val="20"/>
        </w:rPr>
        <w:t>Todo este recorrido se sostiene sobre dos componentes estructurales transversales: el aula de práctica personalizada y la comunidad de aprendizaje. El primero se configura como un laboratorio pedagógico para el ensayo, el error y el rediseño, mientras que el segundo se construye a través de los foros asincrónicos y las interacciones mediadas por el asistente de IA, promoviendo un entorno colaborativo, ético y situado.</w:t>
      </w:r>
    </w:p>
    <w:p w14:paraId="1E5C188C" w14:textId="77777777" w:rsidR="00F87EF6" w:rsidRDefault="00F87EF6" w:rsidP="004911B1">
      <w:pPr>
        <w:jc w:val="both"/>
        <w:rPr>
          <w:rFonts w:cs="Arial"/>
          <w:szCs w:val="20"/>
        </w:rPr>
      </w:pPr>
      <w:r w:rsidRPr="004911B1">
        <w:rPr>
          <w:rFonts w:cs="Arial"/>
          <w:szCs w:val="20"/>
        </w:rPr>
        <w:t>El enfoque metodológico que orienta esta propuesta se basa en la pedagogía situada y la enseñanza divergente, entendiendo que cada clase no se agota en sí misma, sino que habilita nuevas capas de apropiación y construcción de sentido. El proceso culmina con una producción integradora que explicita los saberes tecno-pedagógicos y éticos construidos, y reafirma que el eje central de la enseñanza no reside en las herramientas utilizadas, sino en los sentidos que estas adquieren cuando se las orienta desde una perspectiva crítica, inclusiva y transformadora.</w:t>
      </w:r>
    </w:p>
    <w:p w14:paraId="032F24B0" w14:textId="77777777" w:rsidR="00316D39" w:rsidRDefault="00316D39" w:rsidP="004911B1">
      <w:pPr>
        <w:jc w:val="both"/>
        <w:rPr>
          <w:rFonts w:cs="Arial"/>
          <w:szCs w:val="20"/>
        </w:rPr>
      </w:pPr>
    </w:p>
    <w:p w14:paraId="6BEC1F62" w14:textId="77777777" w:rsidR="00316D39" w:rsidRPr="004911B1" w:rsidRDefault="00316D39" w:rsidP="004911B1">
      <w:pPr>
        <w:jc w:val="both"/>
        <w:rPr>
          <w:rFonts w:cs="Arial"/>
          <w:szCs w:val="20"/>
        </w:rPr>
      </w:pPr>
    </w:p>
    <w:p w14:paraId="1C9ECEBB" w14:textId="07654BCC" w:rsidR="00F24AEB" w:rsidRPr="004911B1" w:rsidRDefault="00B205E5" w:rsidP="002150F5">
      <w:pPr>
        <w:pStyle w:val="Ttulo1"/>
        <w:rPr>
          <w:rFonts w:ascii="Arial" w:hAnsi="Arial" w:cs="Arial"/>
          <w:sz w:val="20"/>
          <w:szCs w:val="20"/>
        </w:rPr>
      </w:pPr>
      <w:bookmarkStart w:id="5" w:name="_Toc201012674"/>
      <w:r w:rsidRPr="002150F5">
        <w:rPr>
          <w:rFonts w:ascii="Arial" w:eastAsiaTheme="minorEastAsia" w:hAnsi="Arial" w:cstheme="minorBidi"/>
          <w:bCs w:val="0"/>
          <w:color w:val="006666"/>
          <w:sz w:val="20"/>
          <w:szCs w:val="22"/>
          <w:lang w:val="es-MX"/>
        </w:rPr>
        <w:lastRenderedPageBreak/>
        <w:t>Referencias bibliográficas completas (formato APA)</w:t>
      </w:r>
      <w:bookmarkEnd w:id="5"/>
      <w:r w:rsidR="002150F5">
        <w:rPr>
          <w:rFonts w:ascii="Arial" w:hAnsi="Arial" w:cs="Arial"/>
          <w:sz w:val="20"/>
          <w:szCs w:val="20"/>
        </w:rPr>
        <w:br/>
      </w:r>
    </w:p>
    <w:p w14:paraId="3E944B1B" w14:textId="77777777" w:rsidR="00F87EF6" w:rsidRPr="004911B1" w:rsidRDefault="00F87EF6" w:rsidP="004911B1">
      <w:pPr>
        <w:jc w:val="both"/>
        <w:rPr>
          <w:rFonts w:cs="Arial"/>
          <w:szCs w:val="20"/>
        </w:rPr>
      </w:pPr>
      <w:r w:rsidRPr="004911B1">
        <w:rPr>
          <w:rFonts w:cs="Arial"/>
          <w:szCs w:val="20"/>
        </w:rPr>
        <w:t xml:space="preserve">Adell, J., &amp; Castañeda, L. (2012). Tecnologías emergentes, ¿pedagogías emergentes? En J. Hernández, J. </w:t>
      </w:r>
      <w:proofErr w:type="spellStart"/>
      <w:r w:rsidRPr="004911B1">
        <w:rPr>
          <w:rFonts w:cs="Arial"/>
          <w:szCs w:val="20"/>
        </w:rPr>
        <w:t>Pennesi</w:t>
      </w:r>
      <w:proofErr w:type="spellEnd"/>
      <w:r w:rsidRPr="004911B1">
        <w:rPr>
          <w:rFonts w:cs="Arial"/>
          <w:szCs w:val="20"/>
        </w:rPr>
        <w:t xml:space="preserve">, M. Sobrino, &amp; A. Vázquez (Eds.), </w:t>
      </w:r>
      <w:r w:rsidRPr="004911B1">
        <w:rPr>
          <w:rFonts w:cs="Arial"/>
          <w:i/>
          <w:iCs/>
          <w:szCs w:val="20"/>
        </w:rPr>
        <w:t>Tendencias emergentes en educación con TIC</w:t>
      </w:r>
      <w:r w:rsidRPr="004911B1">
        <w:rPr>
          <w:rFonts w:cs="Arial"/>
          <w:szCs w:val="20"/>
        </w:rPr>
        <w:t xml:space="preserve"> (pp. 13–32). Asociación Espiral, Educación y Tecnología.</w:t>
      </w:r>
    </w:p>
    <w:p w14:paraId="5A122DB6" w14:textId="77777777" w:rsidR="00F87EF6" w:rsidRPr="004911B1" w:rsidRDefault="00F87EF6" w:rsidP="004911B1">
      <w:pPr>
        <w:jc w:val="both"/>
        <w:rPr>
          <w:rFonts w:cs="Arial"/>
          <w:szCs w:val="20"/>
        </w:rPr>
      </w:pPr>
      <w:proofErr w:type="spellStart"/>
      <w:r w:rsidRPr="004911B1">
        <w:rPr>
          <w:rFonts w:cs="Arial"/>
          <w:szCs w:val="20"/>
        </w:rPr>
        <w:t>Butcher</w:t>
      </w:r>
      <w:proofErr w:type="spellEnd"/>
      <w:r w:rsidRPr="004911B1">
        <w:rPr>
          <w:rFonts w:cs="Arial"/>
          <w:szCs w:val="20"/>
        </w:rPr>
        <w:t xml:space="preserve">, N. (2015). </w:t>
      </w:r>
      <w:r w:rsidRPr="004911B1">
        <w:rPr>
          <w:rFonts w:cs="Arial"/>
          <w:i/>
          <w:iCs/>
          <w:szCs w:val="20"/>
        </w:rPr>
        <w:t>Guía básica de recursos educativos abiertos (REA)</w:t>
      </w:r>
      <w:r w:rsidRPr="004911B1">
        <w:rPr>
          <w:rFonts w:cs="Arial"/>
          <w:szCs w:val="20"/>
        </w:rPr>
        <w:t xml:space="preserve">. UNESCO. </w:t>
      </w:r>
      <w:hyperlink r:id="rId8" w:tgtFrame="_new" w:history="1">
        <w:r w:rsidRPr="004911B1">
          <w:rPr>
            <w:rStyle w:val="Hipervnculo"/>
            <w:rFonts w:cs="Arial"/>
            <w:szCs w:val="20"/>
          </w:rPr>
          <w:t>https://unesdoc.unesco.org/ark:/48223/pf0000232990_spa</w:t>
        </w:r>
      </w:hyperlink>
    </w:p>
    <w:p w14:paraId="06709655" w14:textId="77777777" w:rsidR="00F87EF6" w:rsidRPr="004911B1" w:rsidRDefault="00F87EF6" w:rsidP="004911B1">
      <w:pPr>
        <w:jc w:val="both"/>
        <w:rPr>
          <w:rFonts w:cs="Arial"/>
          <w:szCs w:val="20"/>
        </w:rPr>
      </w:pPr>
      <w:proofErr w:type="spellStart"/>
      <w:r w:rsidRPr="004911B1">
        <w:rPr>
          <w:rFonts w:cs="Arial"/>
          <w:szCs w:val="20"/>
        </w:rPr>
        <w:t>Cayachoa</w:t>
      </w:r>
      <w:proofErr w:type="spellEnd"/>
      <w:r w:rsidRPr="004911B1">
        <w:rPr>
          <w:rFonts w:cs="Arial"/>
          <w:szCs w:val="20"/>
        </w:rPr>
        <w:t xml:space="preserve">-Amaya, I. D. C., Álvarez-Araque, W. O., &amp; </w:t>
      </w:r>
      <w:proofErr w:type="spellStart"/>
      <w:r w:rsidRPr="004911B1">
        <w:rPr>
          <w:rFonts w:cs="Arial"/>
          <w:szCs w:val="20"/>
        </w:rPr>
        <w:t>Botía</w:t>
      </w:r>
      <w:proofErr w:type="spellEnd"/>
      <w:r w:rsidRPr="004911B1">
        <w:rPr>
          <w:rFonts w:cs="Arial"/>
          <w:szCs w:val="20"/>
        </w:rPr>
        <w:t xml:space="preserve">-Martínez, M. L. (2020). El modelo TPACK como estrategia para integrar las TIC en el aula escolar a partir de la formación docente. </w:t>
      </w:r>
      <w:r w:rsidRPr="004911B1">
        <w:rPr>
          <w:rFonts w:cs="Arial"/>
          <w:i/>
          <w:iCs/>
          <w:szCs w:val="20"/>
        </w:rPr>
        <w:t>Revista Espacios</w:t>
      </w:r>
      <w:r w:rsidRPr="004911B1">
        <w:rPr>
          <w:rFonts w:cs="Arial"/>
          <w:szCs w:val="20"/>
        </w:rPr>
        <w:t xml:space="preserve">, </w:t>
      </w:r>
      <w:r w:rsidRPr="004911B1">
        <w:rPr>
          <w:rFonts w:cs="Arial"/>
          <w:i/>
          <w:iCs/>
          <w:szCs w:val="20"/>
        </w:rPr>
        <w:t>41</w:t>
      </w:r>
      <w:r w:rsidRPr="004911B1">
        <w:rPr>
          <w:rFonts w:cs="Arial"/>
          <w:szCs w:val="20"/>
        </w:rPr>
        <w:t xml:space="preserve">(16), 6. </w:t>
      </w:r>
      <w:hyperlink r:id="rId9" w:tgtFrame="_new" w:history="1">
        <w:r w:rsidRPr="004911B1">
          <w:rPr>
            <w:rStyle w:val="Hipervnculo"/>
            <w:rFonts w:cs="Arial"/>
            <w:szCs w:val="20"/>
          </w:rPr>
          <w:t>https://www.revistaespacios.com/a20v41n16/204116p06.html</w:t>
        </w:r>
      </w:hyperlink>
    </w:p>
    <w:p w14:paraId="2843EDFB" w14:textId="77777777" w:rsidR="00F87EF6" w:rsidRPr="004911B1" w:rsidRDefault="00F87EF6" w:rsidP="004911B1">
      <w:pPr>
        <w:jc w:val="both"/>
        <w:rPr>
          <w:rFonts w:cs="Arial"/>
          <w:szCs w:val="20"/>
        </w:rPr>
      </w:pPr>
      <w:proofErr w:type="spellStart"/>
      <w:r w:rsidRPr="004911B1">
        <w:rPr>
          <w:rFonts w:cs="Arial"/>
          <w:szCs w:val="20"/>
        </w:rPr>
        <w:t>Krichesky</w:t>
      </w:r>
      <w:proofErr w:type="spellEnd"/>
      <w:r w:rsidRPr="004911B1">
        <w:rPr>
          <w:rFonts w:cs="Arial"/>
          <w:szCs w:val="20"/>
        </w:rPr>
        <w:t xml:space="preserve">, G. (2016). Modelos y escalas en la planificación. Reflexiones y ejemplos para una práctica necesaria. En </w:t>
      </w:r>
      <w:r w:rsidRPr="004911B1">
        <w:rPr>
          <w:rFonts w:cs="Arial"/>
          <w:i/>
          <w:iCs/>
          <w:szCs w:val="20"/>
        </w:rPr>
        <w:t>Más didáctica en la educación superior</w:t>
      </w:r>
      <w:r w:rsidRPr="004911B1">
        <w:rPr>
          <w:rFonts w:cs="Arial"/>
          <w:szCs w:val="20"/>
        </w:rPr>
        <w:t>. Universidad Nacional de San Martín.</w:t>
      </w:r>
    </w:p>
    <w:p w14:paraId="510D8B60" w14:textId="77777777" w:rsidR="00F87EF6" w:rsidRPr="004911B1" w:rsidRDefault="00F87EF6" w:rsidP="004911B1">
      <w:pPr>
        <w:jc w:val="both"/>
        <w:rPr>
          <w:rFonts w:cs="Arial"/>
          <w:szCs w:val="20"/>
        </w:rPr>
      </w:pPr>
      <w:proofErr w:type="spellStart"/>
      <w:r w:rsidRPr="004911B1">
        <w:rPr>
          <w:rFonts w:cs="Arial"/>
          <w:szCs w:val="20"/>
        </w:rPr>
        <w:t>Meljin</w:t>
      </w:r>
      <w:proofErr w:type="spellEnd"/>
      <w:r w:rsidRPr="004911B1">
        <w:rPr>
          <w:rFonts w:cs="Arial"/>
          <w:szCs w:val="20"/>
        </w:rPr>
        <w:t xml:space="preserve">, M. (2024). Pedagogías emergentes. En </w:t>
      </w:r>
      <w:r w:rsidRPr="004911B1">
        <w:rPr>
          <w:rFonts w:cs="Arial"/>
          <w:i/>
          <w:iCs/>
          <w:szCs w:val="20"/>
        </w:rPr>
        <w:t>El diseño formativo de un escenario virtual de aprendizaje. El caso de una unidad curricular de carrera de posgrado a distancia</w:t>
      </w:r>
      <w:r w:rsidRPr="004911B1">
        <w:rPr>
          <w:rFonts w:cs="Arial"/>
          <w:szCs w:val="20"/>
        </w:rPr>
        <w:t xml:space="preserve"> (Trabajo final integrador de maestría, Universidad Nacional de Cuyo).</w:t>
      </w:r>
    </w:p>
    <w:p w14:paraId="0FA8CFDF" w14:textId="77777777" w:rsidR="00F87EF6" w:rsidRPr="004911B1" w:rsidRDefault="00F87EF6" w:rsidP="004911B1">
      <w:pPr>
        <w:jc w:val="both"/>
        <w:rPr>
          <w:rFonts w:cs="Arial"/>
          <w:szCs w:val="20"/>
        </w:rPr>
      </w:pPr>
      <w:r w:rsidRPr="004911B1">
        <w:rPr>
          <w:rFonts w:cs="Arial"/>
          <w:szCs w:val="20"/>
        </w:rPr>
        <w:t xml:space="preserve">Salinas, J., de Benito, B., Moreno, J., &amp; Lizana, A. (2022). Nuevos diseños y formas organizativas flexibles en educación superior: construcción de itinerarios personales de aprendizaje. </w:t>
      </w:r>
      <w:r w:rsidRPr="004911B1">
        <w:rPr>
          <w:rFonts w:cs="Arial"/>
          <w:i/>
          <w:iCs/>
          <w:szCs w:val="20"/>
        </w:rPr>
        <w:t>Píxel-Bit. Revista de Medios y Educación</w:t>
      </w:r>
      <w:r w:rsidRPr="004911B1">
        <w:rPr>
          <w:rFonts w:cs="Arial"/>
          <w:szCs w:val="20"/>
        </w:rPr>
        <w:t xml:space="preserve">, </w:t>
      </w:r>
      <w:r w:rsidRPr="004911B1">
        <w:rPr>
          <w:rFonts w:cs="Arial"/>
          <w:i/>
          <w:iCs/>
          <w:szCs w:val="20"/>
        </w:rPr>
        <w:t>63</w:t>
      </w:r>
      <w:r w:rsidRPr="004911B1">
        <w:rPr>
          <w:rFonts w:cs="Arial"/>
          <w:szCs w:val="20"/>
        </w:rPr>
        <w:t>, 65–91. https://doi.org/10.12795/pixelbit.92302</w:t>
      </w:r>
    </w:p>
    <w:p w14:paraId="5A3B6A5D" w14:textId="77777777" w:rsidR="00F87EF6" w:rsidRPr="004911B1" w:rsidRDefault="00F87EF6" w:rsidP="004911B1">
      <w:pPr>
        <w:jc w:val="both"/>
        <w:rPr>
          <w:rFonts w:cs="Arial"/>
          <w:szCs w:val="20"/>
        </w:rPr>
      </w:pPr>
      <w:proofErr w:type="spellStart"/>
      <w:r w:rsidRPr="004911B1">
        <w:rPr>
          <w:rFonts w:cs="Arial"/>
          <w:szCs w:val="20"/>
        </w:rPr>
        <w:t>Steiman</w:t>
      </w:r>
      <w:proofErr w:type="spellEnd"/>
      <w:r w:rsidRPr="004911B1">
        <w:rPr>
          <w:rFonts w:cs="Arial"/>
          <w:szCs w:val="20"/>
        </w:rPr>
        <w:t xml:space="preserve">, J. (2008). Marco referencial. En </w:t>
      </w:r>
      <w:r w:rsidRPr="004911B1">
        <w:rPr>
          <w:rFonts w:cs="Arial"/>
          <w:i/>
          <w:iCs/>
          <w:szCs w:val="20"/>
        </w:rPr>
        <w:t>Más didáctica en la educación superior</w:t>
      </w:r>
      <w:r w:rsidRPr="004911B1">
        <w:rPr>
          <w:rFonts w:cs="Arial"/>
          <w:szCs w:val="20"/>
        </w:rPr>
        <w:t xml:space="preserve"> (pp. 29–35). Universidad Nacional de San Martín.</w:t>
      </w:r>
    </w:p>
    <w:p w14:paraId="3B7710B5" w14:textId="77777777" w:rsidR="00F23E68" w:rsidRPr="00F87EF6" w:rsidRDefault="00F23E68" w:rsidP="00F87EF6">
      <w:pPr>
        <w:spacing w:after="160" w:line="259" w:lineRule="auto"/>
        <w:jc w:val="both"/>
        <w:rPr>
          <w:rFonts w:cs="Arial"/>
          <w:szCs w:val="20"/>
        </w:rPr>
      </w:pPr>
    </w:p>
    <w:sectPr w:rsidR="00F23E68" w:rsidRPr="00F87EF6" w:rsidSect="004E3528">
      <w:headerReference w:type="default" r:id="rId10"/>
      <w:pgSz w:w="12240" w:h="15840"/>
      <w:pgMar w:top="1417" w:right="1417" w:bottom="1417" w:left="1417" w:header="680"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26DEF" w14:textId="77777777" w:rsidR="006E74F9" w:rsidRDefault="006E74F9" w:rsidP="00B51DE5">
      <w:pPr>
        <w:spacing w:after="0" w:line="240" w:lineRule="auto"/>
      </w:pPr>
      <w:r>
        <w:separator/>
      </w:r>
    </w:p>
  </w:endnote>
  <w:endnote w:type="continuationSeparator" w:id="0">
    <w:p w14:paraId="4010D417" w14:textId="77777777" w:rsidR="006E74F9" w:rsidRDefault="006E74F9" w:rsidP="00B51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2C6D" w14:textId="77777777" w:rsidR="006E74F9" w:rsidRDefault="006E74F9" w:rsidP="00B51DE5">
      <w:pPr>
        <w:spacing w:after="0" w:line="240" w:lineRule="auto"/>
      </w:pPr>
      <w:r>
        <w:separator/>
      </w:r>
    </w:p>
  </w:footnote>
  <w:footnote w:type="continuationSeparator" w:id="0">
    <w:p w14:paraId="4B91A953" w14:textId="77777777" w:rsidR="006E74F9" w:rsidRDefault="006E74F9" w:rsidP="00B51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1314" w14:textId="0F79E067" w:rsidR="00B51DE5" w:rsidRPr="004E3528" w:rsidRDefault="005C7606" w:rsidP="005C7606">
    <w:pPr>
      <w:pStyle w:val="Encabezado"/>
      <w:jc w:val="center"/>
      <w:rPr>
        <w:color w:val="002465"/>
      </w:rPr>
    </w:pPr>
    <w:r w:rsidRPr="004E3528">
      <w:rPr>
        <w:noProof/>
        <w:color w:val="002465"/>
      </w:rPr>
      <w:drawing>
        <wp:inline distT="0" distB="0" distL="0" distR="0" wp14:anchorId="51A28717" wp14:editId="6325559F">
          <wp:extent cx="4448175" cy="590550"/>
          <wp:effectExtent l="0" t="0" r="0" b="0"/>
          <wp:docPr id="974537960"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37960" name="Imagen 1" descr="Interfaz de usuario gráfica&#10;&#10;El contenido generado por IA puede ser incorrecto."/>
                  <pic:cNvPicPr/>
                </pic:nvPicPr>
                <pic:blipFill rotWithShape="1">
                  <a:blip r:embed="rId1"/>
                  <a:srcRect l="10693" t="34863" r="10047" b="46503"/>
                  <a:stretch/>
                </pic:blipFill>
                <pic:spPr bwMode="auto">
                  <a:xfrm>
                    <a:off x="0" y="0"/>
                    <a:ext cx="4448175" cy="590550"/>
                  </a:xfrm>
                  <a:prstGeom prst="rect">
                    <a:avLst/>
                  </a:prstGeom>
                  <a:ln>
                    <a:noFill/>
                  </a:ln>
                  <a:extLst>
                    <a:ext uri="{53640926-AAD7-44D8-BBD7-CCE9431645EC}">
                      <a14:shadowObscured xmlns:a14="http://schemas.microsoft.com/office/drawing/2010/main"/>
                    </a:ext>
                  </a:extLst>
                </pic:spPr>
              </pic:pic>
            </a:graphicData>
          </a:graphic>
        </wp:inline>
      </w:drawing>
    </w:r>
  </w:p>
  <w:p w14:paraId="151835FD" w14:textId="19AC2226" w:rsidR="004E3528" w:rsidRPr="004E3528" w:rsidRDefault="004E3528" w:rsidP="005C7606">
    <w:pPr>
      <w:pStyle w:val="Encabezado"/>
      <w:jc w:val="center"/>
      <w:rPr>
        <w:color w:val="002465"/>
        <w:lang w:val="es-MX"/>
      </w:rPr>
    </w:pPr>
    <w:r w:rsidRPr="004E3528">
      <w:rPr>
        <w:b/>
        <w:bCs/>
        <w:color w:val="002465"/>
        <w:lang w:val="es-MX"/>
      </w:rPr>
      <w:t>MAESTRÍA EN ENSEÑANZA EN ESCENARIOS DIGITALES</w:t>
    </w:r>
  </w:p>
  <w:p w14:paraId="4D62657D" w14:textId="087895D1" w:rsidR="005C7606" w:rsidRPr="004E3528" w:rsidRDefault="005C7606" w:rsidP="005C7606">
    <w:pPr>
      <w:pStyle w:val="Encabezado"/>
      <w:jc w:val="center"/>
      <w:rPr>
        <w:color w:val="002465"/>
        <w:sz w:val="32"/>
        <w:szCs w:val="36"/>
      </w:rPr>
    </w:pPr>
    <w:r w:rsidRPr="004E3528">
      <w:rPr>
        <w:color w:val="002465"/>
        <w:sz w:val="32"/>
        <w:szCs w:val="36"/>
      </w:rPr>
      <w:t xml:space="preserve">Práctica 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12D4756"/>
    <w:multiLevelType w:val="multilevel"/>
    <w:tmpl w:val="017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55641"/>
    <w:multiLevelType w:val="multilevel"/>
    <w:tmpl w:val="76EA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163482"/>
    <w:multiLevelType w:val="multilevel"/>
    <w:tmpl w:val="F0F81454"/>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ascii="Arial" w:eastAsiaTheme="minorEastAsia" w:hAnsi="Arial" w:cstheme="minorBidi" w:hint="default"/>
        <w:b w:val="0"/>
        <w:color w:val="auto"/>
        <w:sz w:val="20"/>
      </w:rPr>
    </w:lvl>
    <w:lvl w:ilvl="2">
      <w:start w:val="1"/>
      <w:numFmt w:val="decimal"/>
      <w:isLgl/>
      <w:lvlText w:val="%1.%2.%3"/>
      <w:lvlJc w:val="left"/>
      <w:pPr>
        <w:ind w:left="1800" w:hanging="720"/>
      </w:pPr>
      <w:rPr>
        <w:rFonts w:ascii="Arial" w:eastAsiaTheme="minorEastAsia" w:hAnsi="Arial" w:cstheme="minorBidi" w:hint="default"/>
        <w:b w:val="0"/>
        <w:color w:val="auto"/>
        <w:sz w:val="20"/>
      </w:rPr>
    </w:lvl>
    <w:lvl w:ilvl="3">
      <w:start w:val="1"/>
      <w:numFmt w:val="decimal"/>
      <w:isLgl/>
      <w:lvlText w:val="%1.%2.%3.%4"/>
      <w:lvlJc w:val="left"/>
      <w:pPr>
        <w:ind w:left="2160" w:hanging="720"/>
      </w:pPr>
      <w:rPr>
        <w:rFonts w:ascii="Arial" w:eastAsiaTheme="minorEastAsia" w:hAnsi="Arial" w:cstheme="minorBidi" w:hint="default"/>
        <w:b w:val="0"/>
        <w:color w:val="auto"/>
        <w:sz w:val="20"/>
      </w:rPr>
    </w:lvl>
    <w:lvl w:ilvl="4">
      <w:start w:val="1"/>
      <w:numFmt w:val="decimal"/>
      <w:isLgl/>
      <w:lvlText w:val="%1.%2.%3.%4.%5"/>
      <w:lvlJc w:val="left"/>
      <w:pPr>
        <w:ind w:left="2880" w:hanging="1080"/>
      </w:pPr>
      <w:rPr>
        <w:rFonts w:ascii="Arial" w:eastAsiaTheme="minorEastAsia" w:hAnsi="Arial" w:cstheme="minorBidi" w:hint="default"/>
        <w:b w:val="0"/>
        <w:color w:val="auto"/>
        <w:sz w:val="20"/>
      </w:rPr>
    </w:lvl>
    <w:lvl w:ilvl="5">
      <w:start w:val="1"/>
      <w:numFmt w:val="decimal"/>
      <w:isLgl/>
      <w:lvlText w:val="%1.%2.%3.%4.%5.%6"/>
      <w:lvlJc w:val="left"/>
      <w:pPr>
        <w:ind w:left="3240" w:hanging="1080"/>
      </w:pPr>
      <w:rPr>
        <w:rFonts w:ascii="Arial" w:eastAsiaTheme="minorEastAsia" w:hAnsi="Arial" w:cstheme="minorBidi" w:hint="default"/>
        <w:b w:val="0"/>
        <w:color w:val="auto"/>
        <w:sz w:val="20"/>
      </w:rPr>
    </w:lvl>
    <w:lvl w:ilvl="6">
      <w:start w:val="1"/>
      <w:numFmt w:val="decimal"/>
      <w:isLgl/>
      <w:lvlText w:val="%1.%2.%3.%4.%5.%6.%7"/>
      <w:lvlJc w:val="left"/>
      <w:pPr>
        <w:ind w:left="3960" w:hanging="1440"/>
      </w:pPr>
      <w:rPr>
        <w:rFonts w:ascii="Arial" w:eastAsiaTheme="minorEastAsia" w:hAnsi="Arial" w:cstheme="minorBidi" w:hint="default"/>
        <w:b w:val="0"/>
        <w:color w:val="auto"/>
        <w:sz w:val="20"/>
      </w:rPr>
    </w:lvl>
    <w:lvl w:ilvl="7">
      <w:start w:val="1"/>
      <w:numFmt w:val="decimal"/>
      <w:isLgl/>
      <w:lvlText w:val="%1.%2.%3.%4.%5.%6.%7.%8"/>
      <w:lvlJc w:val="left"/>
      <w:pPr>
        <w:ind w:left="4320" w:hanging="1440"/>
      </w:pPr>
      <w:rPr>
        <w:rFonts w:ascii="Arial" w:eastAsiaTheme="minorEastAsia" w:hAnsi="Arial" w:cstheme="minorBidi" w:hint="default"/>
        <w:b w:val="0"/>
        <w:color w:val="auto"/>
        <w:sz w:val="20"/>
      </w:rPr>
    </w:lvl>
    <w:lvl w:ilvl="8">
      <w:start w:val="1"/>
      <w:numFmt w:val="decimal"/>
      <w:isLgl/>
      <w:lvlText w:val="%1.%2.%3.%4.%5.%6.%7.%8.%9"/>
      <w:lvlJc w:val="left"/>
      <w:pPr>
        <w:ind w:left="5040" w:hanging="1800"/>
      </w:pPr>
      <w:rPr>
        <w:rFonts w:ascii="Arial" w:eastAsiaTheme="minorEastAsia" w:hAnsi="Arial" w:cstheme="minorBidi" w:hint="default"/>
        <w:b w:val="0"/>
        <w:color w:val="auto"/>
        <w:sz w:val="20"/>
      </w:rPr>
    </w:lvl>
  </w:abstractNum>
  <w:abstractNum w:abstractNumId="12" w15:restartNumberingAfterBreak="0">
    <w:nsid w:val="0A800BE0"/>
    <w:multiLevelType w:val="hybridMultilevel"/>
    <w:tmpl w:val="893078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1A6D74FE"/>
    <w:multiLevelType w:val="multilevel"/>
    <w:tmpl w:val="00BA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164DC4"/>
    <w:multiLevelType w:val="multilevel"/>
    <w:tmpl w:val="4E2E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E01D08"/>
    <w:multiLevelType w:val="multilevel"/>
    <w:tmpl w:val="0564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B0088B"/>
    <w:multiLevelType w:val="hybridMultilevel"/>
    <w:tmpl w:val="F7FC37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5794D85"/>
    <w:multiLevelType w:val="multilevel"/>
    <w:tmpl w:val="7660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D4A70"/>
    <w:multiLevelType w:val="multilevel"/>
    <w:tmpl w:val="030C5788"/>
    <w:lvl w:ilvl="0">
      <w:start w:val="1"/>
      <w:numFmt w:val="decimal"/>
      <w:lvlText w:val="%1."/>
      <w:lvlJc w:val="left"/>
      <w:pPr>
        <w:ind w:left="360" w:hanging="360"/>
      </w:pPr>
      <w:rPr>
        <w:rFonts w:ascii="Arial" w:eastAsiaTheme="minorEastAsia" w:hAnsi="Arial" w:cstheme="minorBidi" w:hint="default"/>
        <w:b w:val="0"/>
        <w:color w:val="auto"/>
        <w:sz w:val="20"/>
      </w:rPr>
    </w:lvl>
    <w:lvl w:ilvl="1">
      <w:start w:val="1"/>
      <w:numFmt w:val="decimal"/>
      <w:lvlText w:val="%1.%2."/>
      <w:lvlJc w:val="left"/>
      <w:pPr>
        <w:ind w:left="720" w:hanging="720"/>
      </w:pPr>
      <w:rPr>
        <w:rFonts w:ascii="Arial" w:eastAsiaTheme="minorEastAsia" w:hAnsi="Arial" w:cstheme="minorBidi" w:hint="default"/>
        <w:b w:val="0"/>
        <w:color w:val="auto"/>
        <w:sz w:val="20"/>
      </w:rPr>
    </w:lvl>
    <w:lvl w:ilvl="2">
      <w:start w:val="1"/>
      <w:numFmt w:val="decimal"/>
      <w:lvlText w:val="%1.%2.%3."/>
      <w:lvlJc w:val="left"/>
      <w:pPr>
        <w:ind w:left="720" w:hanging="720"/>
      </w:pPr>
      <w:rPr>
        <w:rFonts w:ascii="Arial" w:eastAsiaTheme="minorEastAsia" w:hAnsi="Arial" w:cstheme="minorBidi" w:hint="default"/>
        <w:b w:val="0"/>
        <w:color w:val="auto"/>
        <w:sz w:val="20"/>
      </w:rPr>
    </w:lvl>
    <w:lvl w:ilvl="3">
      <w:start w:val="1"/>
      <w:numFmt w:val="decimal"/>
      <w:lvlText w:val="%1.%2.%3.%4."/>
      <w:lvlJc w:val="left"/>
      <w:pPr>
        <w:ind w:left="1080" w:hanging="1080"/>
      </w:pPr>
      <w:rPr>
        <w:rFonts w:ascii="Arial" w:eastAsiaTheme="minorEastAsia" w:hAnsi="Arial" w:cstheme="minorBidi" w:hint="default"/>
        <w:b w:val="0"/>
        <w:color w:val="auto"/>
        <w:sz w:val="20"/>
      </w:rPr>
    </w:lvl>
    <w:lvl w:ilvl="4">
      <w:start w:val="1"/>
      <w:numFmt w:val="decimal"/>
      <w:lvlText w:val="%1.%2.%3.%4.%5."/>
      <w:lvlJc w:val="left"/>
      <w:pPr>
        <w:ind w:left="1080" w:hanging="1080"/>
      </w:pPr>
      <w:rPr>
        <w:rFonts w:ascii="Arial" w:eastAsiaTheme="minorEastAsia" w:hAnsi="Arial" w:cstheme="minorBidi" w:hint="default"/>
        <w:b w:val="0"/>
        <w:color w:val="auto"/>
        <w:sz w:val="20"/>
      </w:rPr>
    </w:lvl>
    <w:lvl w:ilvl="5">
      <w:start w:val="1"/>
      <w:numFmt w:val="decimal"/>
      <w:lvlText w:val="%1.%2.%3.%4.%5.%6."/>
      <w:lvlJc w:val="left"/>
      <w:pPr>
        <w:ind w:left="1440" w:hanging="1440"/>
      </w:pPr>
      <w:rPr>
        <w:rFonts w:ascii="Arial" w:eastAsiaTheme="minorEastAsia" w:hAnsi="Arial" w:cstheme="minorBidi" w:hint="default"/>
        <w:b w:val="0"/>
        <w:color w:val="auto"/>
        <w:sz w:val="20"/>
      </w:rPr>
    </w:lvl>
    <w:lvl w:ilvl="6">
      <w:start w:val="1"/>
      <w:numFmt w:val="decimal"/>
      <w:lvlText w:val="%1.%2.%3.%4.%5.%6.%7."/>
      <w:lvlJc w:val="left"/>
      <w:pPr>
        <w:ind w:left="1440" w:hanging="1440"/>
      </w:pPr>
      <w:rPr>
        <w:rFonts w:ascii="Arial" w:eastAsiaTheme="minorEastAsia" w:hAnsi="Arial" w:cstheme="minorBidi" w:hint="default"/>
        <w:b w:val="0"/>
        <w:color w:val="auto"/>
        <w:sz w:val="20"/>
      </w:rPr>
    </w:lvl>
    <w:lvl w:ilvl="7">
      <w:start w:val="1"/>
      <w:numFmt w:val="decimal"/>
      <w:lvlText w:val="%1.%2.%3.%4.%5.%6.%7.%8."/>
      <w:lvlJc w:val="left"/>
      <w:pPr>
        <w:ind w:left="1800" w:hanging="1800"/>
      </w:pPr>
      <w:rPr>
        <w:rFonts w:ascii="Arial" w:eastAsiaTheme="minorEastAsia" w:hAnsi="Arial" w:cstheme="minorBidi" w:hint="default"/>
        <w:b w:val="0"/>
        <w:color w:val="auto"/>
        <w:sz w:val="20"/>
      </w:rPr>
    </w:lvl>
    <w:lvl w:ilvl="8">
      <w:start w:val="1"/>
      <w:numFmt w:val="decimal"/>
      <w:lvlText w:val="%1.%2.%3.%4.%5.%6.%7.%8.%9."/>
      <w:lvlJc w:val="left"/>
      <w:pPr>
        <w:ind w:left="1800" w:hanging="1800"/>
      </w:pPr>
      <w:rPr>
        <w:rFonts w:ascii="Arial" w:eastAsiaTheme="minorEastAsia" w:hAnsi="Arial" w:cstheme="minorBidi" w:hint="default"/>
        <w:b w:val="0"/>
        <w:color w:val="auto"/>
        <w:sz w:val="20"/>
      </w:rPr>
    </w:lvl>
  </w:abstractNum>
  <w:abstractNum w:abstractNumId="19" w15:restartNumberingAfterBreak="0">
    <w:nsid w:val="317B744F"/>
    <w:multiLevelType w:val="multilevel"/>
    <w:tmpl w:val="974C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BF3D87"/>
    <w:multiLevelType w:val="multilevel"/>
    <w:tmpl w:val="693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061DD"/>
    <w:multiLevelType w:val="multilevel"/>
    <w:tmpl w:val="4924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44D8D"/>
    <w:multiLevelType w:val="multilevel"/>
    <w:tmpl w:val="A6AA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2B644B"/>
    <w:multiLevelType w:val="multilevel"/>
    <w:tmpl w:val="A686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9109F1"/>
    <w:multiLevelType w:val="multilevel"/>
    <w:tmpl w:val="448E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1419A"/>
    <w:multiLevelType w:val="multilevel"/>
    <w:tmpl w:val="E276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D55D2"/>
    <w:multiLevelType w:val="multilevel"/>
    <w:tmpl w:val="3282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37CD0"/>
    <w:multiLevelType w:val="multilevel"/>
    <w:tmpl w:val="2DBCE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86675C"/>
    <w:multiLevelType w:val="multilevel"/>
    <w:tmpl w:val="E4A2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47BBF"/>
    <w:multiLevelType w:val="multilevel"/>
    <w:tmpl w:val="4966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CC4D86"/>
    <w:multiLevelType w:val="multilevel"/>
    <w:tmpl w:val="C8B2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B224E"/>
    <w:multiLevelType w:val="hybridMultilevel"/>
    <w:tmpl w:val="25B29BE8"/>
    <w:lvl w:ilvl="0" w:tplc="0ABAFF9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3FC0069"/>
    <w:multiLevelType w:val="multilevel"/>
    <w:tmpl w:val="C9AA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63207C"/>
    <w:multiLevelType w:val="multilevel"/>
    <w:tmpl w:val="31DAF968"/>
    <w:lvl w:ilvl="0">
      <w:start w:val="1"/>
      <w:numFmt w:val="decimal"/>
      <w:lvlText w:val="%1."/>
      <w:lvlJc w:val="left"/>
      <w:pPr>
        <w:ind w:left="360" w:hanging="360"/>
      </w:pPr>
      <w:rPr>
        <w:rFonts w:ascii="Arial" w:eastAsiaTheme="minorEastAsia" w:hAnsi="Arial" w:cstheme="minorBidi" w:hint="default"/>
        <w:b w:val="0"/>
        <w:color w:val="auto"/>
        <w:sz w:val="20"/>
      </w:rPr>
    </w:lvl>
    <w:lvl w:ilvl="1">
      <w:start w:val="1"/>
      <w:numFmt w:val="decimal"/>
      <w:lvlText w:val="%1.%2."/>
      <w:lvlJc w:val="left"/>
      <w:pPr>
        <w:ind w:left="720" w:hanging="720"/>
      </w:pPr>
      <w:rPr>
        <w:rFonts w:ascii="Arial" w:eastAsiaTheme="minorEastAsia" w:hAnsi="Arial" w:cstheme="minorBidi" w:hint="default"/>
        <w:b w:val="0"/>
        <w:color w:val="auto"/>
        <w:sz w:val="20"/>
      </w:rPr>
    </w:lvl>
    <w:lvl w:ilvl="2">
      <w:start w:val="1"/>
      <w:numFmt w:val="decimal"/>
      <w:lvlText w:val="%1.%2.%3."/>
      <w:lvlJc w:val="left"/>
      <w:pPr>
        <w:ind w:left="720" w:hanging="720"/>
      </w:pPr>
      <w:rPr>
        <w:rFonts w:ascii="Arial" w:eastAsiaTheme="minorEastAsia" w:hAnsi="Arial" w:cstheme="minorBidi" w:hint="default"/>
        <w:b w:val="0"/>
        <w:color w:val="auto"/>
        <w:sz w:val="20"/>
      </w:rPr>
    </w:lvl>
    <w:lvl w:ilvl="3">
      <w:start w:val="1"/>
      <w:numFmt w:val="decimal"/>
      <w:lvlText w:val="%1.%2.%3.%4."/>
      <w:lvlJc w:val="left"/>
      <w:pPr>
        <w:ind w:left="1080" w:hanging="1080"/>
      </w:pPr>
      <w:rPr>
        <w:rFonts w:ascii="Arial" w:eastAsiaTheme="minorEastAsia" w:hAnsi="Arial" w:cstheme="minorBidi" w:hint="default"/>
        <w:b w:val="0"/>
        <w:color w:val="auto"/>
        <w:sz w:val="20"/>
      </w:rPr>
    </w:lvl>
    <w:lvl w:ilvl="4">
      <w:start w:val="1"/>
      <w:numFmt w:val="decimal"/>
      <w:lvlText w:val="%1.%2.%3.%4.%5."/>
      <w:lvlJc w:val="left"/>
      <w:pPr>
        <w:ind w:left="1080" w:hanging="1080"/>
      </w:pPr>
      <w:rPr>
        <w:rFonts w:ascii="Arial" w:eastAsiaTheme="minorEastAsia" w:hAnsi="Arial" w:cstheme="minorBidi" w:hint="default"/>
        <w:b w:val="0"/>
        <w:color w:val="auto"/>
        <w:sz w:val="20"/>
      </w:rPr>
    </w:lvl>
    <w:lvl w:ilvl="5">
      <w:start w:val="1"/>
      <w:numFmt w:val="decimal"/>
      <w:lvlText w:val="%1.%2.%3.%4.%5.%6."/>
      <w:lvlJc w:val="left"/>
      <w:pPr>
        <w:ind w:left="1440" w:hanging="1440"/>
      </w:pPr>
      <w:rPr>
        <w:rFonts w:ascii="Arial" w:eastAsiaTheme="minorEastAsia" w:hAnsi="Arial" w:cstheme="minorBidi" w:hint="default"/>
        <w:b w:val="0"/>
        <w:color w:val="auto"/>
        <w:sz w:val="20"/>
      </w:rPr>
    </w:lvl>
    <w:lvl w:ilvl="6">
      <w:start w:val="1"/>
      <w:numFmt w:val="decimal"/>
      <w:lvlText w:val="%1.%2.%3.%4.%5.%6.%7."/>
      <w:lvlJc w:val="left"/>
      <w:pPr>
        <w:ind w:left="1440" w:hanging="1440"/>
      </w:pPr>
      <w:rPr>
        <w:rFonts w:ascii="Arial" w:eastAsiaTheme="minorEastAsia" w:hAnsi="Arial" w:cstheme="minorBidi" w:hint="default"/>
        <w:b w:val="0"/>
        <w:color w:val="auto"/>
        <w:sz w:val="20"/>
      </w:rPr>
    </w:lvl>
    <w:lvl w:ilvl="7">
      <w:start w:val="1"/>
      <w:numFmt w:val="decimal"/>
      <w:lvlText w:val="%1.%2.%3.%4.%5.%6.%7.%8."/>
      <w:lvlJc w:val="left"/>
      <w:pPr>
        <w:ind w:left="1800" w:hanging="1800"/>
      </w:pPr>
      <w:rPr>
        <w:rFonts w:ascii="Arial" w:eastAsiaTheme="minorEastAsia" w:hAnsi="Arial" w:cstheme="minorBidi" w:hint="default"/>
        <w:b w:val="0"/>
        <w:color w:val="auto"/>
        <w:sz w:val="20"/>
      </w:rPr>
    </w:lvl>
    <w:lvl w:ilvl="8">
      <w:start w:val="1"/>
      <w:numFmt w:val="decimal"/>
      <w:lvlText w:val="%1.%2.%3.%4.%5.%6.%7.%8.%9."/>
      <w:lvlJc w:val="left"/>
      <w:pPr>
        <w:ind w:left="1800" w:hanging="1800"/>
      </w:pPr>
      <w:rPr>
        <w:rFonts w:ascii="Arial" w:eastAsiaTheme="minorEastAsia" w:hAnsi="Arial" w:cstheme="minorBidi" w:hint="default"/>
        <w:b w:val="0"/>
        <w:color w:val="auto"/>
        <w:sz w:val="20"/>
      </w:rPr>
    </w:lvl>
  </w:abstractNum>
  <w:abstractNum w:abstractNumId="34" w15:restartNumberingAfterBreak="0">
    <w:nsid w:val="67B838CC"/>
    <w:multiLevelType w:val="multilevel"/>
    <w:tmpl w:val="49F2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893A48"/>
    <w:multiLevelType w:val="multilevel"/>
    <w:tmpl w:val="166E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D74C97"/>
    <w:multiLevelType w:val="multilevel"/>
    <w:tmpl w:val="F0BC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F648BB"/>
    <w:multiLevelType w:val="multilevel"/>
    <w:tmpl w:val="F37EE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2507A4"/>
    <w:multiLevelType w:val="multilevel"/>
    <w:tmpl w:val="7C6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32315A"/>
    <w:multiLevelType w:val="hybridMultilevel"/>
    <w:tmpl w:val="E87686C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0" w15:restartNumberingAfterBreak="0">
    <w:nsid w:val="7BD862A3"/>
    <w:multiLevelType w:val="multilevel"/>
    <w:tmpl w:val="B352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3C5E51"/>
    <w:multiLevelType w:val="multilevel"/>
    <w:tmpl w:val="255E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28829">
    <w:abstractNumId w:val="8"/>
  </w:num>
  <w:num w:numId="2" w16cid:durableId="1609923704">
    <w:abstractNumId w:val="6"/>
  </w:num>
  <w:num w:numId="3" w16cid:durableId="655652338">
    <w:abstractNumId w:val="5"/>
  </w:num>
  <w:num w:numId="4" w16cid:durableId="1765572511">
    <w:abstractNumId w:val="4"/>
  </w:num>
  <w:num w:numId="5" w16cid:durableId="722951353">
    <w:abstractNumId w:val="7"/>
  </w:num>
  <w:num w:numId="6" w16cid:durableId="407508597">
    <w:abstractNumId w:val="3"/>
  </w:num>
  <w:num w:numId="7" w16cid:durableId="2062318787">
    <w:abstractNumId w:val="2"/>
  </w:num>
  <w:num w:numId="8" w16cid:durableId="1490947623">
    <w:abstractNumId w:val="1"/>
  </w:num>
  <w:num w:numId="9" w16cid:durableId="2080444949">
    <w:abstractNumId w:val="0"/>
  </w:num>
  <w:num w:numId="10" w16cid:durableId="65350152">
    <w:abstractNumId w:val="16"/>
  </w:num>
  <w:num w:numId="11" w16cid:durableId="726996382">
    <w:abstractNumId w:val="31"/>
  </w:num>
  <w:num w:numId="12" w16cid:durableId="4137545">
    <w:abstractNumId w:val="11"/>
  </w:num>
  <w:num w:numId="13" w16cid:durableId="1116217827">
    <w:abstractNumId w:val="33"/>
  </w:num>
  <w:num w:numId="14" w16cid:durableId="1136869299">
    <w:abstractNumId w:val="18"/>
  </w:num>
  <w:num w:numId="15" w16cid:durableId="1048723609">
    <w:abstractNumId w:val="39"/>
  </w:num>
  <w:num w:numId="16" w16cid:durableId="1812285974">
    <w:abstractNumId w:val="27"/>
  </w:num>
  <w:num w:numId="17" w16cid:durableId="1974672296">
    <w:abstractNumId w:val="41"/>
  </w:num>
  <w:num w:numId="18" w16cid:durableId="1935089671">
    <w:abstractNumId w:val="9"/>
  </w:num>
  <w:num w:numId="19" w16cid:durableId="1043673425">
    <w:abstractNumId w:val="30"/>
  </w:num>
  <w:num w:numId="20" w16cid:durableId="1721050985">
    <w:abstractNumId w:val="13"/>
  </w:num>
  <w:num w:numId="21" w16cid:durableId="471485831">
    <w:abstractNumId w:val="17"/>
  </w:num>
  <w:num w:numId="22" w16cid:durableId="1181434495">
    <w:abstractNumId w:val="37"/>
  </w:num>
  <w:num w:numId="23" w16cid:durableId="385494000">
    <w:abstractNumId w:val="40"/>
  </w:num>
  <w:num w:numId="24" w16cid:durableId="1344432422">
    <w:abstractNumId w:val="29"/>
  </w:num>
  <w:num w:numId="25" w16cid:durableId="624778593">
    <w:abstractNumId w:val="20"/>
  </w:num>
  <w:num w:numId="26" w16cid:durableId="854804586">
    <w:abstractNumId w:val="14"/>
  </w:num>
  <w:num w:numId="27" w16cid:durableId="995643669">
    <w:abstractNumId w:val="26"/>
  </w:num>
  <w:num w:numId="28" w16cid:durableId="1904171923">
    <w:abstractNumId w:val="28"/>
  </w:num>
  <w:num w:numId="29" w16cid:durableId="272633446">
    <w:abstractNumId w:val="12"/>
  </w:num>
  <w:num w:numId="30" w16cid:durableId="102459633">
    <w:abstractNumId w:val="34"/>
  </w:num>
  <w:num w:numId="31" w16cid:durableId="958491199">
    <w:abstractNumId w:val="24"/>
  </w:num>
  <w:num w:numId="32" w16cid:durableId="24798522">
    <w:abstractNumId w:val="22"/>
  </w:num>
  <w:num w:numId="33" w16cid:durableId="1447381759">
    <w:abstractNumId w:val="23"/>
  </w:num>
  <w:num w:numId="34" w16cid:durableId="1009065838">
    <w:abstractNumId w:val="32"/>
  </w:num>
  <w:num w:numId="35" w16cid:durableId="909465157">
    <w:abstractNumId w:val="38"/>
  </w:num>
  <w:num w:numId="36" w16cid:durableId="1945923222">
    <w:abstractNumId w:val="10"/>
  </w:num>
  <w:num w:numId="37" w16cid:durableId="2083939949">
    <w:abstractNumId w:val="36"/>
  </w:num>
  <w:num w:numId="38" w16cid:durableId="266473223">
    <w:abstractNumId w:val="19"/>
  </w:num>
  <w:num w:numId="39" w16cid:durableId="1590430935">
    <w:abstractNumId w:val="15"/>
  </w:num>
  <w:num w:numId="40" w16cid:durableId="1532645333">
    <w:abstractNumId w:val="25"/>
  </w:num>
  <w:num w:numId="41" w16cid:durableId="507334912">
    <w:abstractNumId w:val="35"/>
  </w:num>
  <w:num w:numId="42" w16cid:durableId="5742456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29D"/>
    <w:rsid w:val="00065041"/>
    <w:rsid w:val="0015074B"/>
    <w:rsid w:val="001C284B"/>
    <w:rsid w:val="001D6871"/>
    <w:rsid w:val="002150F5"/>
    <w:rsid w:val="002271D7"/>
    <w:rsid w:val="00244003"/>
    <w:rsid w:val="00260BEC"/>
    <w:rsid w:val="0029639D"/>
    <w:rsid w:val="002B525C"/>
    <w:rsid w:val="002D41ED"/>
    <w:rsid w:val="00316D39"/>
    <w:rsid w:val="00326F90"/>
    <w:rsid w:val="00385B4D"/>
    <w:rsid w:val="00395FD8"/>
    <w:rsid w:val="00407BCD"/>
    <w:rsid w:val="00415C76"/>
    <w:rsid w:val="004911B1"/>
    <w:rsid w:val="004C5216"/>
    <w:rsid w:val="004E3528"/>
    <w:rsid w:val="00514AF6"/>
    <w:rsid w:val="00531F0F"/>
    <w:rsid w:val="0055166F"/>
    <w:rsid w:val="005C5AA2"/>
    <w:rsid w:val="005C7606"/>
    <w:rsid w:val="005D2D4F"/>
    <w:rsid w:val="00601F9A"/>
    <w:rsid w:val="00650F7D"/>
    <w:rsid w:val="00661868"/>
    <w:rsid w:val="006A2A15"/>
    <w:rsid w:val="006E74F9"/>
    <w:rsid w:val="006F22D9"/>
    <w:rsid w:val="00720024"/>
    <w:rsid w:val="00754C56"/>
    <w:rsid w:val="00764548"/>
    <w:rsid w:val="0077142B"/>
    <w:rsid w:val="007C7A79"/>
    <w:rsid w:val="007D35BC"/>
    <w:rsid w:val="00802484"/>
    <w:rsid w:val="008C7702"/>
    <w:rsid w:val="008D69A7"/>
    <w:rsid w:val="00967A94"/>
    <w:rsid w:val="00A24E02"/>
    <w:rsid w:val="00A556B5"/>
    <w:rsid w:val="00AA1D8D"/>
    <w:rsid w:val="00AA4D5E"/>
    <w:rsid w:val="00AC2EE7"/>
    <w:rsid w:val="00AD3D13"/>
    <w:rsid w:val="00B205E5"/>
    <w:rsid w:val="00B30D15"/>
    <w:rsid w:val="00B47730"/>
    <w:rsid w:val="00B51DE5"/>
    <w:rsid w:val="00C2735B"/>
    <w:rsid w:val="00C67F39"/>
    <w:rsid w:val="00C77F8E"/>
    <w:rsid w:val="00CB0664"/>
    <w:rsid w:val="00E04869"/>
    <w:rsid w:val="00E07418"/>
    <w:rsid w:val="00EF7163"/>
    <w:rsid w:val="00F04B22"/>
    <w:rsid w:val="00F23E68"/>
    <w:rsid w:val="00F24AEB"/>
    <w:rsid w:val="00F408F5"/>
    <w:rsid w:val="00F87EF6"/>
    <w:rsid w:val="00FC693F"/>
    <w:rsid w:val="00FD38E0"/>
    <w:rsid w:val="00FF5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93B28"/>
  <w14:defaultImageDpi w14:val="330"/>
  <w15:docId w15:val="{A95D7786-4299-496D-80BF-C68D9721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lang w:val="es-AR"/>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DC1">
    <w:name w:val="toc 1"/>
    <w:basedOn w:val="Normal"/>
    <w:next w:val="Normal"/>
    <w:autoRedefine/>
    <w:uiPriority w:val="39"/>
    <w:unhideWhenUsed/>
    <w:rsid w:val="00B30D15"/>
    <w:pPr>
      <w:tabs>
        <w:tab w:val="left" w:pos="720"/>
        <w:tab w:val="right" w:leader="dot" w:pos="9396"/>
      </w:tabs>
      <w:spacing w:after="100" w:line="720" w:lineRule="auto"/>
    </w:pPr>
  </w:style>
  <w:style w:type="character" w:styleId="Hipervnculo">
    <w:name w:val="Hyperlink"/>
    <w:basedOn w:val="Fuentedeprrafopredeter"/>
    <w:uiPriority w:val="99"/>
    <w:unhideWhenUsed/>
    <w:rsid w:val="00B51DE5"/>
    <w:rPr>
      <w:color w:val="0000FF" w:themeColor="hyperlink"/>
      <w:u w:val="single"/>
    </w:rPr>
  </w:style>
  <w:style w:type="character" w:styleId="Mencinsinresolver">
    <w:name w:val="Unresolved Mention"/>
    <w:basedOn w:val="Fuentedeprrafopredeter"/>
    <w:uiPriority w:val="99"/>
    <w:semiHidden/>
    <w:unhideWhenUsed/>
    <w:rsid w:val="00B30D15"/>
    <w:rPr>
      <w:color w:val="605E5C"/>
      <w:shd w:val="clear" w:color="auto" w:fill="E1DFDD"/>
    </w:rPr>
  </w:style>
  <w:style w:type="paragraph" w:styleId="NormalWeb">
    <w:name w:val="Normal (Web)"/>
    <w:basedOn w:val="Normal"/>
    <w:uiPriority w:val="99"/>
    <w:semiHidden/>
    <w:unhideWhenUsed/>
    <w:rsid w:val="00395F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4061">
      <w:bodyDiv w:val="1"/>
      <w:marLeft w:val="0"/>
      <w:marRight w:val="0"/>
      <w:marTop w:val="0"/>
      <w:marBottom w:val="0"/>
      <w:divBdr>
        <w:top w:val="none" w:sz="0" w:space="0" w:color="auto"/>
        <w:left w:val="none" w:sz="0" w:space="0" w:color="auto"/>
        <w:bottom w:val="none" w:sz="0" w:space="0" w:color="auto"/>
        <w:right w:val="none" w:sz="0" w:space="0" w:color="auto"/>
      </w:divBdr>
    </w:div>
    <w:div w:id="70466040">
      <w:bodyDiv w:val="1"/>
      <w:marLeft w:val="0"/>
      <w:marRight w:val="0"/>
      <w:marTop w:val="0"/>
      <w:marBottom w:val="0"/>
      <w:divBdr>
        <w:top w:val="none" w:sz="0" w:space="0" w:color="auto"/>
        <w:left w:val="none" w:sz="0" w:space="0" w:color="auto"/>
        <w:bottom w:val="none" w:sz="0" w:space="0" w:color="auto"/>
        <w:right w:val="none" w:sz="0" w:space="0" w:color="auto"/>
      </w:divBdr>
    </w:div>
    <w:div w:id="133917217">
      <w:bodyDiv w:val="1"/>
      <w:marLeft w:val="0"/>
      <w:marRight w:val="0"/>
      <w:marTop w:val="0"/>
      <w:marBottom w:val="0"/>
      <w:divBdr>
        <w:top w:val="none" w:sz="0" w:space="0" w:color="auto"/>
        <w:left w:val="none" w:sz="0" w:space="0" w:color="auto"/>
        <w:bottom w:val="none" w:sz="0" w:space="0" w:color="auto"/>
        <w:right w:val="none" w:sz="0" w:space="0" w:color="auto"/>
      </w:divBdr>
    </w:div>
    <w:div w:id="194075005">
      <w:bodyDiv w:val="1"/>
      <w:marLeft w:val="0"/>
      <w:marRight w:val="0"/>
      <w:marTop w:val="0"/>
      <w:marBottom w:val="0"/>
      <w:divBdr>
        <w:top w:val="none" w:sz="0" w:space="0" w:color="auto"/>
        <w:left w:val="none" w:sz="0" w:space="0" w:color="auto"/>
        <w:bottom w:val="none" w:sz="0" w:space="0" w:color="auto"/>
        <w:right w:val="none" w:sz="0" w:space="0" w:color="auto"/>
      </w:divBdr>
    </w:div>
    <w:div w:id="243614781">
      <w:bodyDiv w:val="1"/>
      <w:marLeft w:val="0"/>
      <w:marRight w:val="0"/>
      <w:marTop w:val="0"/>
      <w:marBottom w:val="0"/>
      <w:divBdr>
        <w:top w:val="none" w:sz="0" w:space="0" w:color="auto"/>
        <w:left w:val="none" w:sz="0" w:space="0" w:color="auto"/>
        <w:bottom w:val="none" w:sz="0" w:space="0" w:color="auto"/>
        <w:right w:val="none" w:sz="0" w:space="0" w:color="auto"/>
      </w:divBdr>
    </w:div>
    <w:div w:id="279801820">
      <w:bodyDiv w:val="1"/>
      <w:marLeft w:val="0"/>
      <w:marRight w:val="0"/>
      <w:marTop w:val="0"/>
      <w:marBottom w:val="0"/>
      <w:divBdr>
        <w:top w:val="none" w:sz="0" w:space="0" w:color="auto"/>
        <w:left w:val="none" w:sz="0" w:space="0" w:color="auto"/>
        <w:bottom w:val="none" w:sz="0" w:space="0" w:color="auto"/>
        <w:right w:val="none" w:sz="0" w:space="0" w:color="auto"/>
      </w:divBdr>
    </w:div>
    <w:div w:id="294871677">
      <w:bodyDiv w:val="1"/>
      <w:marLeft w:val="0"/>
      <w:marRight w:val="0"/>
      <w:marTop w:val="0"/>
      <w:marBottom w:val="0"/>
      <w:divBdr>
        <w:top w:val="none" w:sz="0" w:space="0" w:color="auto"/>
        <w:left w:val="none" w:sz="0" w:space="0" w:color="auto"/>
        <w:bottom w:val="none" w:sz="0" w:space="0" w:color="auto"/>
        <w:right w:val="none" w:sz="0" w:space="0" w:color="auto"/>
      </w:divBdr>
    </w:div>
    <w:div w:id="349766581">
      <w:bodyDiv w:val="1"/>
      <w:marLeft w:val="0"/>
      <w:marRight w:val="0"/>
      <w:marTop w:val="0"/>
      <w:marBottom w:val="0"/>
      <w:divBdr>
        <w:top w:val="none" w:sz="0" w:space="0" w:color="auto"/>
        <w:left w:val="none" w:sz="0" w:space="0" w:color="auto"/>
        <w:bottom w:val="none" w:sz="0" w:space="0" w:color="auto"/>
        <w:right w:val="none" w:sz="0" w:space="0" w:color="auto"/>
      </w:divBdr>
    </w:div>
    <w:div w:id="372579324">
      <w:bodyDiv w:val="1"/>
      <w:marLeft w:val="0"/>
      <w:marRight w:val="0"/>
      <w:marTop w:val="0"/>
      <w:marBottom w:val="0"/>
      <w:divBdr>
        <w:top w:val="none" w:sz="0" w:space="0" w:color="auto"/>
        <w:left w:val="none" w:sz="0" w:space="0" w:color="auto"/>
        <w:bottom w:val="none" w:sz="0" w:space="0" w:color="auto"/>
        <w:right w:val="none" w:sz="0" w:space="0" w:color="auto"/>
      </w:divBdr>
    </w:div>
    <w:div w:id="386029696">
      <w:bodyDiv w:val="1"/>
      <w:marLeft w:val="0"/>
      <w:marRight w:val="0"/>
      <w:marTop w:val="0"/>
      <w:marBottom w:val="0"/>
      <w:divBdr>
        <w:top w:val="none" w:sz="0" w:space="0" w:color="auto"/>
        <w:left w:val="none" w:sz="0" w:space="0" w:color="auto"/>
        <w:bottom w:val="none" w:sz="0" w:space="0" w:color="auto"/>
        <w:right w:val="none" w:sz="0" w:space="0" w:color="auto"/>
      </w:divBdr>
    </w:div>
    <w:div w:id="456341337">
      <w:bodyDiv w:val="1"/>
      <w:marLeft w:val="0"/>
      <w:marRight w:val="0"/>
      <w:marTop w:val="0"/>
      <w:marBottom w:val="0"/>
      <w:divBdr>
        <w:top w:val="none" w:sz="0" w:space="0" w:color="auto"/>
        <w:left w:val="none" w:sz="0" w:space="0" w:color="auto"/>
        <w:bottom w:val="none" w:sz="0" w:space="0" w:color="auto"/>
        <w:right w:val="none" w:sz="0" w:space="0" w:color="auto"/>
      </w:divBdr>
    </w:div>
    <w:div w:id="629826049">
      <w:bodyDiv w:val="1"/>
      <w:marLeft w:val="0"/>
      <w:marRight w:val="0"/>
      <w:marTop w:val="0"/>
      <w:marBottom w:val="0"/>
      <w:divBdr>
        <w:top w:val="none" w:sz="0" w:space="0" w:color="auto"/>
        <w:left w:val="none" w:sz="0" w:space="0" w:color="auto"/>
        <w:bottom w:val="none" w:sz="0" w:space="0" w:color="auto"/>
        <w:right w:val="none" w:sz="0" w:space="0" w:color="auto"/>
      </w:divBdr>
    </w:div>
    <w:div w:id="706874034">
      <w:bodyDiv w:val="1"/>
      <w:marLeft w:val="0"/>
      <w:marRight w:val="0"/>
      <w:marTop w:val="0"/>
      <w:marBottom w:val="0"/>
      <w:divBdr>
        <w:top w:val="none" w:sz="0" w:space="0" w:color="auto"/>
        <w:left w:val="none" w:sz="0" w:space="0" w:color="auto"/>
        <w:bottom w:val="none" w:sz="0" w:space="0" w:color="auto"/>
        <w:right w:val="none" w:sz="0" w:space="0" w:color="auto"/>
      </w:divBdr>
    </w:div>
    <w:div w:id="784155450">
      <w:bodyDiv w:val="1"/>
      <w:marLeft w:val="0"/>
      <w:marRight w:val="0"/>
      <w:marTop w:val="0"/>
      <w:marBottom w:val="0"/>
      <w:divBdr>
        <w:top w:val="none" w:sz="0" w:space="0" w:color="auto"/>
        <w:left w:val="none" w:sz="0" w:space="0" w:color="auto"/>
        <w:bottom w:val="none" w:sz="0" w:space="0" w:color="auto"/>
        <w:right w:val="none" w:sz="0" w:space="0" w:color="auto"/>
      </w:divBdr>
    </w:div>
    <w:div w:id="811023063">
      <w:bodyDiv w:val="1"/>
      <w:marLeft w:val="0"/>
      <w:marRight w:val="0"/>
      <w:marTop w:val="0"/>
      <w:marBottom w:val="0"/>
      <w:divBdr>
        <w:top w:val="none" w:sz="0" w:space="0" w:color="auto"/>
        <w:left w:val="none" w:sz="0" w:space="0" w:color="auto"/>
        <w:bottom w:val="none" w:sz="0" w:space="0" w:color="auto"/>
        <w:right w:val="none" w:sz="0" w:space="0" w:color="auto"/>
      </w:divBdr>
    </w:div>
    <w:div w:id="933515428">
      <w:bodyDiv w:val="1"/>
      <w:marLeft w:val="0"/>
      <w:marRight w:val="0"/>
      <w:marTop w:val="0"/>
      <w:marBottom w:val="0"/>
      <w:divBdr>
        <w:top w:val="none" w:sz="0" w:space="0" w:color="auto"/>
        <w:left w:val="none" w:sz="0" w:space="0" w:color="auto"/>
        <w:bottom w:val="none" w:sz="0" w:space="0" w:color="auto"/>
        <w:right w:val="none" w:sz="0" w:space="0" w:color="auto"/>
      </w:divBdr>
    </w:div>
    <w:div w:id="941382490">
      <w:bodyDiv w:val="1"/>
      <w:marLeft w:val="0"/>
      <w:marRight w:val="0"/>
      <w:marTop w:val="0"/>
      <w:marBottom w:val="0"/>
      <w:divBdr>
        <w:top w:val="none" w:sz="0" w:space="0" w:color="auto"/>
        <w:left w:val="none" w:sz="0" w:space="0" w:color="auto"/>
        <w:bottom w:val="none" w:sz="0" w:space="0" w:color="auto"/>
        <w:right w:val="none" w:sz="0" w:space="0" w:color="auto"/>
      </w:divBdr>
    </w:div>
    <w:div w:id="1005014267">
      <w:bodyDiv w:val="1"/>
      <w:marLeft w:val="0"/>
      <w:marRight w:val="0"/>
      <w:marTop w:val="0"/>
      <w:marBottom w:val="0"/>
      <w:divBdr>
        <w:top w:val="none" w:sz="0" w:space="0" w:color="auto"/>
        <w:left w:val="none" w:sz="0" w:space="0" w:color="auto"/>
        <w:bottom w:val="none" w:sz="0" w:space="0" w:color="auto"/>
        <w:right w:val="none" w:sz="0" w:space="0" w:color="auto"/>
      </w:divBdr>
    </w:div>
    <w:div w:id="1048996338">
      <w:bodyDiv w:val="1"/>
      <w:marLeft w:val="0"/>
      <w:marRight w:val="0"/>
      <w:marTop w:val="0"/>
      <w:marBottom w:val="0"/>
      <w:divBdr>
        <w:top w:val="none" w:sz="0" w:space="0" w:color="auto"/>
        <w:left w:val="none" w:sz="0" w:space="0" w:color="auto"/>
        <w:bottom w:val="none" w:sz="0" w:space="0" w:color="auto"/>
        <w:right w:val="none" w:sz="0" w:space="0" w:color="auto"/>
      </w:divBdr>
    </w:div>
    <w:div w:id="1272013855">
      <w:bodyDiv w:val="1"/>
      <w:marLeft w:val="0"/>
      <w:marRight w:val="0"/>
      <w:marTop w:val="0"/>
      <w:marBottom w:val="0"/>
      <w:divBdr>
        <w:top w:val="none" w:sz="0" w:space="0" w:color="auto"/>
        <w:left w:val="none" w:sz="0" w:space="0" w:color="auto"/>
        <w:bottom w:val="none" w:sz="0" w:space="0" w:color="auto"/>
        <w:right w:val="none" w:sz="0" w:space="0" w:color="auto"/>
      </w:divBdr>
    </w:div>
    <w:div w:id="1354039731">
      <w:bodyDiv w:val="1"/>
      <w:marLeft w:val="0"/>
      <w:marRight w:val="0"/>
      <w:marTop w:val="0"/>
      <w:marBottom w:val="0"/>
      <w:divBdr>
        <w:top w:val="none" w:sz="0" w:space="0" w:color="auto"/>
        <w:left w:val="none" w:sz="0" w:space="0" w:color="auto"/>
        <w:bottom w:val="none" w:sz="0" w:space="0" w:color="auto"/>
        <w:right w:val="none" w:sz="0" w:space="0" w:color="auto"/>
      </w:divBdr>
    </w:div>
    <w:div w:id="1422992928">
      <w:bodyDiv w:val="1"/>
      <w:marLeft w:val="0"/>
      <w:marRight w:val="0"/>
      <w:marTop w:val="0"/>
      <w:marBottom w:val="0"/>
      <w:divBdr>
        <w:top w:val="none" w:sz="0" w:space="0" w:color="auto"/>
        <w:left w:val="none" w:sz="0" w:space="0" w:color="auto"/>
        <w:bottom w:val="none" w:sz="0" w:space="0" w:color="auto"/>
        <w:right w:val="none" w:sz="0" w:space="0" w:color="auto"/>
      </w:divBdr>
    </w:div>
    <w:div w:id="1425374591">
      <w:bodyDiv w:val="1"/>
      <w:marLeft w:val="0"/>
      <w:marRight w:val="0"/>
      <w:marTop w:val="0"/>
      <w:marBottom w:val="0"/>
      <w:divBdr>
        <w:top w:val="none" w:sz="0" w:space="0" w:color="auto"/>
        <w:left w:val="none" w:sz="0" w:space="0" w:color="auto"/>
        <w:bottom w:val="none" w:sz="0" w:space="0" w:color="auto"/>
        <w:right w:val="none" w:sz="0" w:space="0" w:color="auto"/>
      </w:divBdr>
    </w:div>
    <w:div w:id="1457748506">
      <w:bodyDiv w:val="1"/>
      <w:marLeft w:val="0"/>
      <w:marRight w:val="0"/>
      <w:marTop w:val="0"/>
      <w:marBottom w:val="0"/>
      <w:divBdr>
        <w:top w:val="none" w:sz="0" w:space="0" w:color="auto"/>
        <w:left w:val="none" w:sz="0" w:space="0" w:color="auto"/>
        <w:bottom w:val="none" w:sz="0" w:space="0" w:color="auto"/>
        <w:right w:val="none" w:sz="0" w:space="0" w:color="auto"/>
      </w:divBdr>
    </w:div>
    <w:div w:id="1596357505">
      <w:bodyDiv w:val="1"/>
      <w:marLeft w:val="0"/>
      <w:marRight w:val="0"/>
      <w:marTop w:val="0"/>
      <w:marBottom w:val="0"/>
      <w:divBdr>
        <w:top w:val="none" w:sz="0" w:space="0" w:color="auto"/>
        <w:left w:val="none" w:sz="0" w:space="0" w:color="auto"/>
        <w:bottom w:val="none" w:sz="0" w:space="0" w:color="auto"/>
        <w:right w:val="none" w:sz="0" w:space="0" w:color="auto"/>
      </w:divBdr>
    </w:div>
    <w:div w:id="1660036233">
      <w:bodyDiv w:val="1"/>
      <w:marLeft w:val="0"/>
      <w:marRight w:val="0"/>
      <w:marTop w:val="0"/>
      <w:marBottom w:val="0"/>
      <w:divBdr>
        <w:top w:val="none" w:sz="0" w:space="0" w:color="auto"/>
        <w:left w:val="none" w:sz="0" w:space="0" w:color="auto"/>
        <w:bottom w:val="none" w:sz="0" w:space="0" w:color="auto"/>
        <w:right w:val="none" w:sz="0" w:space="0" w:color="auto"/>
      </w:divBdr>
    </w:div>
    <w:div w:id="1712457610">
      <w:bodyDiv w:val="1"/>
      <w:marLeft w:val="0"/>
      <w:marRight w:val="0"/>
      <w:marTop w:val="0"/>
      <w:marBottom w:val="0"/>
      <w:divBdr>
        <w:top w:val="none" w:sz="0" w:space="0" w:color="auto"/>
        <w:left w:val="none" w:sz="0" w:space="0" w:color="auto"/>
        <w:bottom w:val="none" w:sz="0" w:space="0" w:color="auto"/>
        <w:right w:val="none" w:sz="0" w:space="0" w:color="auto"/>
      </w:divBdr>
    </w:div>
    <w:div w:id="1730763342">
      <w:bodyDiv w:val="1"/>
      <w:marLeft w:val="0"/>
      <w:marRight w:val="0"/>
      <w:marTop w:val="0"/>
      <w:marBottom w:val="0"/>
      <w:divBdr>
        <w:top w:val="none" w:sz="0" w:space="0" w:color="auto"/>
        <w:left w:val="none" w:sz="0" w:space="0" w:color="auto"/>
        <w:bottom w:val="none" w:sz="0" w:space="0" w:color="auto"/>
        <w:right w:val="none" w:sz="0" w:space="0" w:color="auto"/>
      </w:divBdr>
    </w:div>
    <w:div w:id="1780488923">
      <w:bodyDiv w:val="1"/>
      <w:marLeft w:val="0"/>
      <w:marRight w:val="0"/>
      <w:marTop w:val="0"/>
      <w:marBottom w:val="0"/>
      <w:divBdr>
        <w:top w:val="none" w:sz="0" w:space="0" w:color="auto"/>
        <w:left w:val="none" w:sz="0" w:space="0" w:color="auto"/>
        <w:bottom w:val="none" w:sz="0" w:space="0" w:color="auto"/>
        <w:right w:val="none" w:sz="0" w:space="0" w:color="auto"/>
      </w:divBdr>
    </w:div>
    <w:div w:id="1806586228">
      <w:bodyDiv w:val="1"/>
      <w:marLeft w:val="0"/>
      <w:marRight w:val="0"/>
      <w:marTop w:val="0"/>
      <w:marBottom w:val="0"/>
      <w:divBdr>
        <w:top w:val="none" w:sz="0" w:space="0" w:color="auto"/>
        <w:left w:val="none" w:sz="0" w:space="0" w:color="auto"/>
        <w:bottom w:val="none" w:sz="0" w:space="0" w:color="auto"/>
        <w:right w:val="none" w:sz="0" w:space="0" w:color="auto"/>
      </w:divBdr>
    </w:div>
    <w:div w:id="1816331779">
      <w:bodyDiv w:val="1"/>
      <w:marLeft w:val="0"/>
      <w:marRight w:val="0"/>
      <w:marTop w:val="0"/>
      <w:marBottom w:val="0"/>
      <w:divBdr>
        <w:top w:val="none" w:sz="0" w:space="0" w:color="auto"/>
        <w:left w:val="none" w:sz="0" w:space="0" w:color="auto"/>
        <w:bottom w:val="none" w:sz="0" w:space="0" w:color="auto"/>
        <w:right w:val="none" w:sz="0" w:space="0" w:color="auto"/>
      </w:divBdr>
    </w:div>
    <w:div w:id="1853373810">
      <w:bodyDiv w:val="1"/>
      <w:marLeft w:val="0"/>
      <w:marRight w:val="0"/>
      <w:marTop w:val="0"/>
      <w:marBottom w:val="0"/>
      <w:divBdr>
        <w:top w:val="none" w:sz="0" w:space="0" w:color="auto"/>
        <w:left w:val="none" w:sz="0" w:space="0" w:color="auto"/>
        <w:bottom w:val="none" w:sz="0" w:space="0" w:color="auto"/>
        <w:right w:val="none" w:sz="0" w:space="0" w:color="auto"/>
      </w:divBdr>
    </w:div>
    <w:div w:id="1879850327">
      <w:bodyDiv w:val="1"/>
      <w:marLeft w:val="0"/>
      <w:marRight w:val="0"/>
      <w:marTop w:val="0"/>
      <w:marBottom w:val="0"/>
      <w:divBdr>
        <w:top w:val="none" w:sz="0" w:space="0" w:color="auto"/>
        <w:left w:val="none" w:sz="0" w:space="0" w:color="auto"/>
        <w:bottom w:val="none" w:sz="0" w:space="0" w:color="auto"/>
        <w:right w:val="none" w:sz="0" w:space="0" w:color="auto"/>
      </w:divBdr>
    </w:div>
    <w:div w:id="1938442080">
      <w:bodyDiv w:val="1"/>
      <w:marLeft w:val="0"/>
      <w:marRight w:val="0"/>
      <w:marTop w:val="0"/>
      <w:marBottom w:val="0"/>
      <w:divBdr>
        <w:top w:val="none" w:sz="0" w:space="0" w:color="auto"/>
        <w:left w:val="none" w:sz="0" w:space="0" w:color="auto"/>
        <w:bottom w:val="none" w:sz="0" w:space="0" w:color="auto"/>
        <w:right w:val="none" w:sz="0" w:space="0" w:color="auto"/>
      </w:divBdr>
    </w:div>
    <w:div w:id="1992907297">
      <w:bodyDiv w:val="1"/>
      <w:marLeft w:val="0"/>
      <w:marRight w:val="0"/>
      <w:marTop w:val="0"/>
      <w:marBottom w:val="0"/>
      <w:divBdr>
        <w:top w:val="none" w:sz="0" w:space="0" w:color="auto"/>
        <w:left w:val="none" w:sz="0" w:space="0" w:color="auto"/>
        <w:bottom w:val="none" w:sz="0" w:space="0" w:color="auto"/>
        <w:right w:val="none" w:sz="0" w:space="0" w:color="auto"/>
      </w:divBdr>
    </w:div>
    <w:div w:id="2111002983">
      <w:bodyDiv w:val="1"/>
      <w:marLeft w:val="0"/>
      <w:marRight w:val="0"/>
      <w:marTop w:val="0"/>
      <w:marBottom w:val="0"/>
      <w:divBdr>
        <w:top w:val="none" w:sz="0" w:space="0" w:color="auto"/>
        <w:left w:val="none" w:sz="0" w:space="0" w:color="auto"/>
        <w:bottom w:val="none" w:sz="0" w:space="0" w:color="auto"/>
        <w:right w:val="none" w:sz="0" w:space="0" w:color="auto"/>
      </w:divBdr>
    </w:div>
    <w:div w:id="2118597303">
      <w:bodyDiv w:val="1"/>
      <w:marLeft w:val="0"/>
      <w:marRight w:val="0"/>
      <w:marTop w:val="0"/>
      <w:marBottom w:val="0"/>
      <w:divBdr>
        <w:top w:val="none" w:sz="0" w:space="0" w:color="auto"/>
        <w:left w:val="none" w:sz="0" w:space="0" w:color="auto"/>
        <w:bottom w:val="none" w:sz="0" w:space="0" w:color="auto"/>
        <w:right w:val="none" w:sz="0" w:space="0" w:color="auto"/>
      </w:divBdr>
    </w:div>
    <w:div w:id="21457300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esdoc.unesco.org/ark:/48223/pf0000232990_s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vistaespacios.com/a20v41n16/204116p06.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3824</Words>
  <Characters>21033</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Graciela Cristina Sayat</dc:creator>
  <cp:keywords>Plantilla MARCO DE REFERENCIA</cp:keywords>
  <dc:description>generated by python-docx</dc:description>
  <cp:lastModifiedBy>Maximiliano Pérez</cp:lastModifiedBy>
  <cp:revision>8</cp:revision>
  <cp:lastPrinted>2025-05-13T17:09:00Z</cp:lastPrinted>
  <dcterms:created xsi:type="dcterms:W3CDTF">2025-06-16T21:34:00Z</dcterms:created>
  <dcterms:modified xsi:type="dcterms:W3CDTF">2025-06-17T03:31:00Z</dcterms:modified>
  <cp:category/>
</cp:coreProperties>
</file>